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2980"/>
        <w:gridCol w:w="2983"/>
        <w:gridCol w:w="2983"/>
      </w:tblGrid>
      <w:tr>
        <w:tblPrEx>
          <w:tblCellMar>
            <w:top w:w="0" w:type="dxa"/>
            <w:left w:w="108" w:type="dxa"/>
            <w:bottom w:w="0" w:type="dxa"/>
            <w:right w:w="108" w:type="dxa"/>
          </w:tblCellMar>
        </w:tblPrEx>
        <w:tc>
          <w:tcPr>
            <w:tcW w:w="1666" w:type="pct"/>
            <w:shd w:val="clear" w:color="auto" w:fill="auto"/>
          </w:tcPr>
          <w:p>
            <w:pPr>
              <w:keepNext w:val="0"/>
              <w:keepLines w:val="0"/>
              <w:widowControl w:val="0"/>
              <w:suppressLineNumbers w:val="0"/>
              <w:adjustRightInd w:val="0"/>
              <w:snapToGrid w:val="0"/>
              <w:spacing w:before="0" w:beforeAutospacing="0" w:after="0" w:afterAutospacing="0" w:line="440" w:lineRule="exact"/>
              <w:ind w:left="0" w:right="0"/>
              <w:jc w:val="both"/>
              <w:rPr>
                <w:rFonts w:hint="default" w:ascii="Times New Roman" w:hAnsi="Times New Roman" w:cs="Times New Roman"/>
                <w:kern w:val="2"/>
                <w:szCs w:val="20"/>
              </w:rPr>
            </w:pPr>
            <w:r>
              <w:rPr>
                <w:rFonts w:hint="default" w:ascii="Times New Roman" w:hAnsi="Times New Roman" w:cs="Times New Roman"/>
                <w:kern w:val="2"/>
                <w:szCs w:val="20"/>
              </w:rPr>
              <w:t>证券代码：000881</w:t>
            </w:r>
          </w:p>
        </w:tc>
        <w:tc>
          <w:tcPr>
            <w:tcW w:w="1667" w:type="pct"/>
            <w:shd w:val="clear" w:color="auto" w:fill="auto"/>
          </w:tcPr>
          <w:p>
            <w:pPr>
              <w:keepNext w:val="0"/>
              <w:keepLines w:val="0"/>
              <w:widowControl w:val="0"/>
              <w:suppressLineNumbers w:val="0"/>
              <w:adjustRightInd w:val="0"/>
              <w:snapToGrid w:val="0"/>
              <w:spacing w:before="0" w:beforeAutospacing="0" w:after="0" w:afterAutospacing="0" w:line="440" w:lineRule="exact"/>
              <w:ind w:left="0" w:right="0"/>
              <w:jc w:val="center"/>
              <w:rPr>
                <w:rFonts w:hint="default" w:ascii="Times New Roman" w:hAnsi="Times New Roman" w:cs="Times New Roman"/>
                <w:kern w:val="2"/>
                <w:szCs w:val="20"/>
              </w:rPr>
            </w:pPr>
            <w:r>
              <w:rPr>
                <w:rFonts w:hint="default" w:ascii="Times New Roman" w:hAnsi="Times New Roman" w:cs="Times New Roman"/>
                <w:kern w:val="2"/>
                <w:szCs w:val="20"/>
              </w:rPr>
              <w:t>证券简称：中广核技</w:t>
            </w:r>
          </w:p>
        </w:tc>
        <w:tc>
          <w:tcPr>
            <w:tcW w:w="1667" w:type="pct"/>
            <w:shd w:val="clear" w:color="auto" w:fill="auto"/>
          </w:tcPr>
          <w:p>
            <w:pPr>
              <w:keepNext w:val="0"/>
              <w:keepLines w:val="0"/>
              <w:widowControl w:val="0"/>
              <w:suppressLineNumbers w:val="0"/>
              <w:wordWrap w:val="0"/>
              <w:adjustRightInd w:val="0"/>
              <w:snapToGrid w:val="0"/>
              <w:spacing w:before="0" w:beforeAutospacing="0" w:after="0" w:afterAutospacing="0" w:line="440" w:lineRule="exact"/>
              <w:ind w:left="0" w:right="0"/>
              <w:jc w:val="right"/>
              <w:rPr>
                <w:rFonts w:hint="default" w:ascii="Times New Roman" w:hAnsi="Times New Roman" w:eastAsia="宋体" w:cs="Times New Roman"/>
                <w:kern w:val="2"/>
                <w:szCs w:val="20"/>
                <w:lang w:val="en-US" w:eastAsia="zh-CN"/>
              </w:rPr>
            </w:pPr>
            <w:r>
              <w:rPr>
                <w:rFonts w:hint="default" w:ascii="Times New Roman" w:hAnsi="Times New Roman" w:cs="Times New Roman"/>
                <w:kern w:val="2"/>
                <w:szCs w:val="20"/>
              </w:rPr>
              <w:t>公告编号：202</w:t>
            </w:r>
            <w:r>
              <w:rPr>
                <w:rFonts w:hint="eastAsia" w:ascii="Times New Roman" w:hAnsi="Times New Roman" w:cs="Times New Roman"/>
                <w:kern w:val="2"/>
                <w:szCs w:val="20"/>
                <w:lang w:val="en-US" w:eastAsia="zh-CN"/>
              </w:rPr>
              <w:t>4</w:t>
            </w:r>
            <w:r>
              <w:rPr>
                <w:rFonts w:hint="default" w:ascii="Times New Roman" w:hAnsi="Times New Roman" w:cs="Times New Roman"/>
                <w:kern w:val="2"/>
                <w:szCs w:val="20"/>
              </w:rPr>
              <w:t>-</w:t>
            </w:r>
            <w:r>
              <w:rPr>
                <w:rFonts w:hint="default" w:ascii="Times New Roman" w:hAnsi="Times New Roman" w:cs="Times New Roman"/>
                <w:kern w:val="2"/>
                <w:szCs w:val="20"/>
                <w:lang w:val="en-US" w:eastAsia="zh-CN"/>
              </w:rPr>
              <w:t>0</w:t>
            </w:r>
            <w:r>
              <w:rPr>
                <w:rFonts w:hint="eastAsia" w:ascii="Times New Roman" w:hAnsi="Times New Roman" w:cs="Times New Roman"/>
                <w:kern w:val="2"/>
                <w:szCs w:val="20"/>
                <w:lang w:val="en-US" w:eastAsia="zh-CN"/>
              </w:rPr>
              <w:t>25</w:t>
            </w:r>
          </w:p>
        </w:tc>
      </w:tr>
    </w:tbl>
    <w:p>
      <w:pPr>
        <w:widowControl w:val="0"/>
        <w:snapToGrid w:val="0"/>
        <w:spacing w:before="180" w:beforeLines="5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中广核核技术发展股份有限公司</w:t>
      </w:r>
    </w:p>
    <w:p>
      <w:pPr>
        <w:widowControl w:val="0"/>
        <w:snapToGrid w:val="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关于确认202</w:t>
      </w:r>
      <w:r>
        <w:rPr>
          <w:rFonts w:hint="eastAsia" w:ascii="Times New Roman" w:hAnsi="Times New Roman" w:cs="Times New Roman"/>
          <w:b/>
          <w:kern w:val="2"/>
          <w:sz w:val="36"/>
          <w:szCs w:val="36"/>
          <w:lang w:val="en-US" w:eastAsia="zh-CN"/>
        </w:rPr>
        <w:t>3</w:t>
      </w:r>
      <w:r>
        <w:rPr>
          <w:rFonts w:hint="default" w:ascii="Times New Roman" w:hAnsi="Times New Roman" w:cs="Times New Roman"/>
          <w:b/>
          <w:kern w:val="2"/>
          <w:sz w:val="36"/>
          <w:szCs w:val="36"/>
        </w:rPr>
        <w:t>年度日常关联交易和预计202</w:t>
      </w:r>
      <w:r>
        <w:rPr>
          <w:rFonts w:hint="eastAsia" w:ascii="Times New Roman" w:hAnsi="Times New Roman" w:cs="Times New Roman"/>
          <w:b/>
          <w:kern w:val="2"/>
          <w:sz w:val="36"/>
          <w:szCs w:val="36"/>
          <w:lang w:val="en-US" w:eastAsia="zh-CN"/>
        </w:rPr>
        <w:t>4</w:t>
      </w:r>
      <w:r>
        <w:rPr>
          <w:rFonts w:hint="default" w:ascii="Times New Roman" w:hAnsi="Times New Roman" w:cs="Times New Roman"/>
          <w:b/>
          <w:kern w:val="2"/>
          <w:sz w:val="36"/>
          <w:szCs w:val="36"/>
        </w:rPr>
        <w:t>年度</w:t>
      </w:r>
    </w:p>
    <w:p>
      <w:pPr>
        <w:widowControl w:val="0"/>
        <w:snapToGrid w:val="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日常关联交易的公告</w:t>
      </w:r>
    </w:p>
    <w:p>
      <w:pPr>
        <w:widowControl w:val="0"/>
        <w:snapToGrid w:val="0"/>
        <w:spacing w:before="180" w:beforeLines="50" w:line="360" w:lineRule="auto"/>
        <w:ind w:firstLine="422" w:firstLineChars="200"/>
        <w:jc w:val="both"/>
        <w:rPr>
          <w:rFonts w:hint="default" w:ascii="Times New Roman" w:hAnsi="Times New Roman" w:cs="Times New Roman"/>
          <w:b/>
          <w:kern w:val="2"/>
          <w:sz w:val="21"/>
          <w:szCs w:val="21"/>
        </w:rPr>
      </w:pPr>
      <w:r>
        <w:rPr>
          <w:rFonts w:hint="default" w:ascii="Times New Roman" w:hAnsi="Times New Roman" w:cs="Times New Roman"/>
          <w:b/>
          <w:kern w:val="2"/>
          <w:sz w:val="21"/>
          <w:szCs w:val="21"/>
        </w:rPr>
        <w:t>本公司及董事会全体成员保证信息披露的内容真实、准确、完整，没有虚假记载、误导性陈述或者重大遗漏。</w:t>
      </w:r>
    </w:p>
    <w:p>
      <w:pPr>
        <w:pStyle w:val="21"/>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一、日常关联交易基本情况</w:t>
      </w:r>
    </w:p>
    <w:p>
      <w:pPr>
        <w:pStyle w:val="21"/>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（一）日常关联交易概述</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本次关联交易是预计中广核核技术发展股份有限公司（以下简称“公司”或“中广核技”，含控股子公司）202</w:t>
      </w:r>
      <w:r>
        <w:rPr>
          <w:rFonts w:hint="eastAsia" w:ascii="Times New Roman" w:hAnsi="Times New Roman" w:cs="Times New Roman"/>
          <w:kern w:val="2"/>
          <w:szCs w:val="20"/>
          <w:lang w:val="en-US" w:eastAsia="zh-CN"/>
        </w:rPr>
        <w:t>4</w:t>
      </w:r>
      <w:r>
        <w:rPr>
          <w:rFonts w:hint="default" w:ascii="Times New Roman" w:hAnsi="Times New Roman" w:cs="Times New Roman"/>
          <w:kern w:val="2"/>
          <w:szCs w:val="20"/>
        </w:rPr>
        <w:t>年度日常关联交易的基本情况，主要包括公司与关联方之间</w:t>
      </w:r>
      <w:r>
        <w:rPr>
          <w:rFonts w:hint="default" w:ascii="Times New Roman" w:hAnsi="Times New Roman" w:cs="Times New Roman"/>
          <w:kern w:val="2"/>
          <w:szCs w:val="20"/>
          <w:lang w:val="en-US" w:eastAsia="zh-CN"/>
        </w:rPr>
        <w:t>金融服务、</w:t>
      </w:r>
      <w:r>
        <w:rPr>
          <w:rFonts w:hint="default" w:ascii="Times New Roman" w:hAnsi="Times New Roman" w:cs="Times New Roman"/>
          <w:kern w:val="2"/>
          <w:szCs w:val="20"/>
        </w:rPr>
        <w:t>采购销售、接受与提供劳务、租赁等事项。</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公司第</w:t>
      </w:r>
      <w:r>
        <w:rPr>
          <w:rFonts w:hint="default" w:ascii="Times New Roman" w:hAnsi="Times New Roman" w:cs="Times New Roman"/>
          <w:kern w:val="2"/>
          <w:szCs w:val="20"/>
          <w:lang w:val="en-US" w:eastAsia="zh-CN"/>
        </w:rPr>
        <w:t>十</w:t>
      </w:r>
      <w:r>
        <w:rPr>
          <w:rFonts w:hint="default" w:ascii="Times New Roman" w:hAnsi="Times New Roman" w:cs="Times New Roman"/>
          <w:kern w:val="2"/>
          <w:szCs w:val="20"/>
        </w:rPr>
        <w:t>届董事会第</w:t>
      </w:r>
      <w:r>
        <w:rPr>
          <w:rFonts w:hint="eastAsia" w:ascii="Times New Roman" w:hAnsi="Times New Roman" w:cs="Times New Roman"/>
          <w:kern w:val="2"/>
          <w:szCs w:val="20"/>
          <w:lang w:val="en-US" w:eastAsia="zh-CN"/>
        </w:rPr>
        <w:t>十五</w:t>
      </w:r>
      <w:r>
        <w:rPr>
          <w:rFonts w:hint="default" w:ascii="Times New Roman" w:hAnsi="Times New Roman" w:cs="Times New Roman"/>
          <w:kern w:val="2"/>
          <w:szCs w:val="20"/>
        </w:rPr>
        <w:t>次会议于202</w:t>
      </w:r>
      <w:r>
        <w:rPr>
          <w:rFonts w:hint="eastAsia" w:ascii="Times New Roman" w:hAnsi="Times New Roman" w:cs="Times New Roman"/>
          <w:kern w:val="2"/>
          <w:szCs w:val="20"/>
          <w:lang w:val="en-US" w:eastAsia="zh-CN"/>
        </w:rPr>
        <w:t>4</w:t>
      </w:r>
      <w:r>
        <w:rPr>
          <w:rFonts w:hint="default" w:ascii="Times New Roman" w:hAnsi="Times New Roman" w:cs="Times New Roman"/>
          <w:kern w:val="2"/>
          <w:szCs w:val="20"/>
        </w:rPr>
        <w:t>年4月2</w:t>
      </w:r>
      <w:r>
        <w:rPr>
          <w:rFonts w:hint="default" w:ascii="Times New Roman" w:hAnsi="Times New Roman" w:cs="Times New Roman"/>
          <w:kern w:val="2"/>
          <w:szCs w:val="20"/>
          <w:lang w:val="en-US" w:eastAsia="zh-CN"/>
        </w:rPr>
        <w:t>5</w:t>
      </w:r>
      <w:r>
        <w:rPr>
          <w:rFonts w:hint="default" w:ascii="Times New Roman" w:hAnsi="Times New Roman" w:cs="Times New Roman"/>
          <w:kern w:val="2"/>
          <w:szCs w:val="20"/>
        </w:rPr>
        <w:t>日召开，审议通过了《关于确认2023年度日常关联交易和预计2024年度日常关联交易的议案》。董事会审议上述事项时，关联董事</w:t>
      </w:r>
      <w:r>
        <w:rPr>
          <w:rFonts w:hint="eastAsia" w:ascii="Times New Roman" w:hAnsi="Times New Roman" w:cs="Times New Roman"/>
          <w:kern w:val="2"/>
          <w:szCs w:val="20"/>
          <w:lang w:val="en-US" w:eastAsia="zh-CN"/>
        </w:rPr>
        <w:t>李勇</w:t>
      </w:r>
      <w:r>
        <w:rPr>
          <w:rFonts w:hint="default" w:ascii="Times New Roman" w:hAnsi="Times New Roman" w:cs="Times New Roman"/>
          <w:kern w:val="2"/>
          <w:szCs w:val="20"/>
        </w:rPr>
        <w:t>、</w:t>
      </w:r>
      <w:r>
        <w:rPr>
          <w:rFonts w:hint="default" w:ascii="Times New Roman" w:hAnsi="Times New Roman" w:cs="Times New Roman"/>
          <w:kern w:val="2"/>
          <w:szCs w:val="20"/>
          <w:lang w:val="en-US" w:eastAsia="zh-CN"/>
        </w:rPr>
        <w:t>盛国福、文志涛、</w:t>
      </w:r>
      <w:r>
        <w:rPr>
          <w:rFonts w:hint="eastAsia" w:ascii="Times New Roman" w:hAnsi="Times New Roman" w:cs="Times New Roman"/>
          <w:kern w:val="2"/>
          <w:szCs w:val="20"/>
          <w:lang w:val="en-US" w:eastAsia="zh-CN"/>
        </w:rPr>
        <w:t>何祖元、慕长坤、吴远明</w:t>
      </w:r>
      <w:r>
        <w:rPr>
          <w:rFonts w:hint="default" w:ascii="Times New Roman" w:hAnsi="Times New Roman" w:cs="Times New Roman"/>
          <w:kern w:val="2"/>
          <w:szCs w:val="20"/>
        </w:rPr>
        <w:t>进行了回避表决，其余3名董事一致同意该议案，符合《公司章程》及有关规定。</w:t>
      </w:r>
      <w:r>
        <w:rPr>
          <w:rFonts w:hint="eastAsia" w:ascii="Times New Roman" w:hAnsi="Times New Roman" w:cs="Times New Roman"/>
          <w:kern w:val="2"/>
          <w:szCs w:val="20"/>
          <w:lang w:val="en-US" w:eastAsia="zh-CN"/>
        </w:rPr>
        <w:t>第十届董事会审计委员会2024年第一次会议和独立董事专门会议2024年第二次会议对该议案进行了前置审核，同意提交董事会审议</w:t>
      </w:r>
      <w:r>
        <w:rPr>
          <w:rFonts w:hint="default" w:ascii="Times New Roman" w:hAnsi="Times New Roman" w:cs="Times New Roman"/>
          <w:kern w:val="2"/>
          <w:szCs w:val="20"/>
        </w:rPr>
        <w:t>。</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根据日常经营需要，202</w:t>
      </w:r>
      <w:r>
        <w:rPr>
          <w:rFonts w:hint="eastAsia" w:ascii="Times New Roman" w:hAnsi="Times New Roman" w:cs="Times New Roman"/>
          <w:kern w:val="2"/>
          <w:szCs w:val="20"/>
          <w:lang w:val="en-US" w:eastAsia="zh-CN"/>
        </w:rPr>
        <w:t>4</w:t>
      </w:r>
      <w:r>
        <w:rPr>
          <w:rFonts w:hint="default" w:ascii="Times New Roman" w:hAnsi="Times New Roman" w:cs="Times New Roman"/>
          <w:kern w:val="2"/>
          <w:szCs w:val="20"/>
        </w:rPr>
        <w:t>年度，公司预计在中国广核集团有限公司</w:t>
      </w:r>
      <w:r>
        <w:rPr>
          <w:rFonts w:hint="eastAsia" w:ascii="Times New Roman" w:hAnsi="Times New Roman" w:cs="Times New Roman"/>
          <w:kern w:val="2"/>
          <w:szCs w:val="20"/>
          <w:lang w:val="en-US" w:eastAsia="zh-CN"/>
        </w:rPr>
        <w:t>的控股子公司</w:t>
      </w:r>
      <w:r>
        <w:rPr>
          <w:rFonts w:hint="default" w:ascii="Times New Roman" w:hAnsi="Times New Roman" w:cs="Times New Roman"/>
          <w:kern w:val="2"/>
          <w:szCs w:val="20"/>
        </w:rPr>
        <w:t>中广核财务有限责任公司每日最高存款限额为300,000万元，预计存款利率范围为0.0001%-3.2%；预计贷款额度为340,000万元，预计贷款利率范围为2.7%-3.0%；预计授信额度为100,000万元。</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eastAsia" w:ascii="Times New Roman" w:hAnsi="Times New Roman" w:cs="Times New Roman"/>
          <w:kern w:val="2"/>
          <w:szCs w:val="20"/>
          <w:lang w:val="en-US" w:eastAsia="zh-CN"/>
        </w:rPr>
        <w:t>其他</w:t>
      </w:r>
      <w:r>
        <w:rPr>
          <w:rFonts w:hint="default" w:ascii="Times New Roman" w:hAnsi="Times New Roman" w:cs="Times New Roman"/>
          <w:kern w:val="2"/>
          <w:szCs w:val="20"/>
        </w:rPr>
        <w:t>日常关联交易预计总额为16,157.83万元</w:t>
      </w:r>
      <w:r>
        <w:rPr>
          <w:rFonts w:hint="eastAsia" w:ascii="Times New Roman" w:hAnsi="Times New Roman" w:cs="Times New Roman"/>
          <w:kern w:val="2"/>
          <w:szCs w:val="20"/>
          <w:lang w:eastAsia="zh-CN"/>
        </w:rPr>
        <w:t>（其中与中</w:t>
      </w:r>
      <w:r>
        <w:rPr>
          <w:rFonts w:hint="eastAsia" w:ascii="Times New Roman" w:hAnsi="Times New Roman" w:cs="Times New Roman"/>
          <w:kern w:val="2"/>
          <w:szCs w:val="20"/>
          <w:lang w:val="en-US" w:eastAsia="zh-CN"/>
        </w:rPr>
        <w:t>国</w:t>
      </w:r>
      <w:r>
        <w:rPr>
          <w:rFonts w:hint="eastAsia" w:ascii="Times New Roman" w:hAnsi="Times New Roman" w:cs="Times New Roman"/>
          <w:kern w:val="2"/>
          <w:szCs w:val="20"/>
          <w:lang w:eastAsia="zh-CN"/>
        </w:rPr>
        <w:t>广核集团</w:t>
      </w:r>
      <w:r>
        <w:rPr>
          <w:rFonts w:hint="eastAsia" w:ascii="Times New Roman" w:hAnsi="Times New Roman" w:cs="Times New Roman"/>
          <w:kern w:val="2"/>
          <w:szCs w:val="20"/>
          <w:lang w:val="en-US" w:eastAsia="zh-CN"/>
        </w:rPr>
        <w:t>有限公司</w:t>
      </w:r>
      <w:r>
        <w:rPr>
          <w:rFonts w:hint="eastAsia" w:ascii="Times New Roman" w:hAnsi="Times New Roman" w:cs="Times New Roman"/>
          <w:kern w:val="2"/>
          <w:szCs w:val="20"/>
          <w:lang w:eastAsia="zh-CN"/>
        </w:rPr>
        <w:t>及其下属子公司关联交易预计金额14,700.35万元）</w:t>
      </w:r>
      <w:r>
        <w:rPr>
          <w:rFonts w:hint="default" w:ascii="Times New Roman" w:hAnsi="Times New Roman" w:cs="Times New Roman"/>
          <w:kern w:val="2"/>
          <w:szCs w:val="20"/>
        </w:rPr>
        <w:t>，其中向关联人采购产品3,856.73万元，销售产品、商品4,117.64万元，提供劳务1,883.64万元，接受劳务4,102.04万元，提供及接受租赁、物业费等2,197.78万元。</w:t>
      </w:r>
    </w:p>
    <w:p>
      <w:pPr>
        <w:widowControl w:val="0"/>
        <w:adjustRightInd w:val="0"/>
        <w:snapToGrid w:val="0"/>
        <w:spacing w:line="360" w:lineRule="auto"/>
        <w:ind w:firstLine="480" w:firstLineChars="200"/>
        <w:jc w:val="both"/>
        <w:rPr>
          <w:rFonts w:hint="eastAsia"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2023年12月公司下属全资子公司中广核金沃科技有限公司与中国广核集团的控股子公司中广核风电有限公司签署合同价格为人民币17,516.00万元</w:t>
      </w:r>
      <w:r>
        <w:rPr>
          <w:rFonts w:hint="eastAsia" w:ascii="宋体" w:hAnsi="宋体" w:eastAsia="宋体" w:cs="宋体"/>
          <w:kern w:val="2"/>
          <w:szCs w:val="20"/>
          <w:lang w:val="en-US" w:eastAsia="zh-CN"/>
        </w:rPr>
        <w:t>（含税）</w:t>
      </w:r>
      <w:r>
        <w:rPr>
          <w:rFonts w:hint="eastAsia" w:ascii="Times New Roman" w:hAnsi="Times New Roman" w:cs="Times New Roman"/>
          <w:kern w:val="2"/>
          <w:szCs w:val="20"/>
          <w:lang w:val="en-US" w:eastAsia="zh-CN"/>
        </w:rPr>
        <w:t>的《中广核新能源2023年框架采购项目（第七标段）光伏专用电缆设备采购合同》（详见公告编号：2023-110）。本次2024年度日常关联交易预计金额为16,157.83 万元（其中与中广核集团及其下属子公司关联交易预计金额14,700.35万元），按中广核集团及其下属子公司这同一关联人累计计算关联交易金额为32,216.35万元，整体累计计算的关联交易金额为33,673.83万元，根据《公司章程》及《深圳证券交易所股票上市规则》的规定，本议案尚需提交股东大会审议，关联股东中广核核技术应用有限公司及其一致行动人、中国大连国际经济技术合作集团有限公司需回避表决。</w:t>
      </w:r>
    </w:p>
    <w:p>
      <w:pPr>
        <w:pStyle w:val="21"/>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（二）202</w:t>
      </w:r>
      <w:r>
        <w:rPr>
          <w:rFonts w:hint="eastAsia" w:cs="Times New Roman"/>
          <w:b/>
          <w:sz w:val="24"/>
          <w:lang w:val="en-US" w:eastAsia="zh-CN"/>
        </w:rPr>
        <w:t>4</w:t>
      </w:r>
      <w:r>
        <w:rPr>
          <w:rFonts w:hint="default" w:ascii="Times New Roman" w:hAnsi="Times New Roman" w:cs="Times New Roman"/>
          <w:b/>
          <w:sz w:val="24"/>
        </w:rPr>
        <w:t>年度日常关联交易额度预计总体情况</w:t>
      </w:r>
    </w:p>
    <w:p>
      <w:pPr>
        <w:pStyle w:val="21"/>
        <w:adjustRightInd w:val="0"/>
        <w:snapToGrid w:val="0"/>
        <w:spacing w:line="360" w:lineRule="auto"/>
        <w:ind w:firstLine="482"/>
        <w:outlineLvl w:val="1"/>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1、202</w:t>
      </w:r>
      <w:r>
        <w:rPr>
          <w:rFonts w:hint="eastAsia" w:cs="Times New Roman"/>
          <w:b/>
          <w:sz w:val="24"/>
          <w:lang w:val="en-US" w:eastAsia="zh-CN"/>
        </w:rPr>
        <w:t>4</w:t>
      </w:r>
      <w:r>
        <w:rPr>
          <w:rFonts w:hint="default" w:ascii="Times New Roman" w:hAnsi="Times New Roman" w:cs="Times New Roman"/>
          <w:b/>
          <w:sz w:val="24"/>
          <w:lang w:val="en-US" w:eastAsia="zh-CN"/>
        </w:rPr>
        <w:t>年度金融服务业务预计情况</w:t>
      </w:r>
    </w:p>
    <w:p>
      <w:pPr>
        <w:tabs>
          <w:tab w:val="left" w:pos="720"/>
        </w:tabs>
        <w:spacing w:line="360" w:lineRule="auto"/>
        <w:ind w:firstLine="360" w:firstLineChars="200"/>
        <w:jc w:val="righ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单位：万元</w:t>
      </w:r>
    </w:p>
    <w:tbl>
      <w:tblPr>
        <w:tblStyle w:val="8"/>
        <w:tblW w:w="86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84"/>
        <w:gridCol w:w="2310"/>
        <w:gridCol w:w="2505"/>
        <w:gridCol w:w="2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784" w:type="dxa"/>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auto"/>
                <w:sz w:val="18"/>
                <w:szCs w:val="18"/>
              </w:rPr>
            </w:pPr>
            <w:r>
              <w:rPr>
                <w:rFonts w:hint="default" w:ascii="Times New Roman" w:hAnsi="Times New Roman" w:cs="Times New Roman"/>
                <w:b/>
                <w:color w:val="auto"/>
                <w:kern w:val="24"/>
                <w:sz w:val="18"/>
                <w:szCs w:val="18"/>
              </w:rPr>
              <w:t>关联交易类别</w:t>
            </w:r>
          </w:p>
        </w:tc>
        <w:tc>
          <w:tcPr>
            <w:tcW w:w="2310" w:type="dxa"/>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cs="Times New Roman"/>
                <w:b/>
                <w:bCs/>
                <w:color w:val="auto"/>
                <w:sz w:val="18"/>
                <w:szCs w:val="18"/>
              </w:rPr>
            </w:pPr>
            <w:r>
              <w:rPr>
                <w:rFonts w:hint="default" w:ascii="Times New Roman" w:hAnsi="Times New Roman" w:eastAsia="宋体" w:cs="Times New Roman"/>
                <w:b/>
                <w:bCs/>
                <w:color w:val="auto"/>
                <w:sz w:val="18"/>
                <w:szCs w:val="18"/>
              </w:rPr>
              <w:t>关联人</w:t>
            </w:r>
          </w:p>
        </w:tc>
        <w:tc>
          <w:tcPr>
            <w:tcW w:w="2505" w:type="dxa"/>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cs="Times New Roman"/>
                <w:b/>
                <w:bCs/>
                <w:color w:val="auto"/>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4</w:t>
            </w:r>
            <w:r>
              <w:rPr>
                <w:rFonts w:hint="default" w:ascii="Times New Roman" w:hAnsi="Times New Roman" w:eastAsia="宋体" w:cs="Times New Roman"/>
                <w:b/>
                <w:bCs/>
                <w:color w:val="auto"/>
                <w:sz w:val="18"/>
                <w:szCs w:val="18"/>
              </w:rPr>
              <w:t>年预计每日最高存款限额</w:t>
            </w:r>
          </w:p>
        </w:tc>
        <w:tc>
          <w:tcPr>
            <w:tcW w:w="2022" w:type="dxa"/>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4</w:t>
            </w:r>
            <w:r>
              <w:rPr>
                <w:rFonts w:hint="default" w:ascii="Times New Roman" w:hAnsi="Times New Roman" w:eastAsia="宋体" w:cs="Times New Roman"/>
                <w:b/>
                <w:bCs/>
                <w:color w:val="auto"/>
                <w:sz w:val="18"/>
                <w:szCs w:val="18"/>
              </w:rPr>
              <w:t>年预计存款利率范围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784"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存款</w:t>
            </w:r>
          </w:p>
        </w:tc>
        <w:tc>
          <w:tcPr>
            <w:tcW w:w="2310" w:type="dxa"/>
            <w:shd w:val="clear" w:color="auto" w:fill="auto"/>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中广核财务有限责任公司</w:t>
            </w:r>
          </w:p>
        </w:tc>
        <w:tc>
          <w:tcPr>
            <w:tcW w:w="2505" w:type="dxa"/>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300,000</w:t>
            </w:r>
          </w:p>
        </w:tc>
        <w:tc>
          <w:tcPr>
            <w:tcW w:w="2022" w:type="dxa"/>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3" w:hRule="atLeast"/>
          <w:jc w:val="center"/>
        </w:trPr>
        <w:tc>
          <w:tcPr>
            <w:tcW w:w="1784"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关联交易类别</w:t>
            </w:r>
          </w:p>
        </w:tc>
        <w:tc>
          <w:tcPr>
            <w:tcW w:w="2310" w:type="dxa"/>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关联人</w:t>
            </w:r>
          </w:p>
        </w:tc>
        <w:tc>
          <w:tcPr>
            <w:tcW w:w="2505" w:type="dxa"/>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4</w:t>
            </w:r>
            <w:r>
              <w:rPr>
                <w:rFonts w:hint="default" w:ascii="Times New Roman" w:hAnsi="Times New Roman" w:eastAsia="宋体" w:cs="Times New Roman"/>
                <w:b/>
                <w:bCs/>
                <w:color w:val="auto"/>
                <w:sz w:val="18"/>
                <w:szCs w:val="18"/>
              </w:rPr>
              <w:t>年预计贷款额度</w:t>
            </w:r>
          </w:p>
        </w:tc>
        <w:tc>
          <w:tcPr>
            <w:tcW w:w="2022" w:type="dxa"/>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4</w:t>
            </w:r>
            <w:r>
              <w:rPr>
                <w:rFonts w:hint="default" w:ascii="Times New Roman" w:hAnsi="Times New Roman" w:eastAsia="宋体" w:cs="Times New Roman"/>
                <w:b/>
                <w:bCs/>
                <w:color w:val="auto"/>
                <w:sz w:val="18"/>
                <w:szCs w:val="18"/>
              </w:rPr>
              <w:t>年预计贷款利率范围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784"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w:t>
            </w:r>
          </w:p>
        </w:tc>
        <w:tc>
          <w:tcPr>
            <w:tcW w:w="2310" w:type="dxa"/>
            <w:shd w:val="clear" w:color="auto" w:fill="auto"/>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中广核财务有限责任公司</w:t>
            </w:r>
          </w:p>
        </w:tc>
        <w:tc>
          <w:tcPr>
            <w:tcW w:w="2505" w:type="dxa"/>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340,000</w:t>
            </w:r>
          </w:p>
        </w:tc>
        <w:tc>
          <w:tcPr>
            <w:tcW w:w="2022" w:type="dxa"/>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2.7</w:t>
            </w: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0</w:t>
            </w:r>
            <w:r>
              <w:rPr>
                <w:rFonts w:hint="default" w:ascii="Times New Roman" w:hAnsi="Times New Roman" w:eastAsia="宋体" w:cs="Times New Roman"/>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784" w:type="dxa"/>
            <w:shd w:val="clear" w:color="auto" w:fill="D7D7D7" w:themeFill="background1" w:themeFillShade="D8"/>
            <w:vAlign w:val="center"/>
          </w:tcPr>
          <w:p>
            <w:pPr>
              <w:pStyle w:val="6"/>
              <w:keepNext w:val="0"/>
              <w:keepLines w:val="0"/>
              <w:widowControl/>
              <w:suppressLineNumbers w:val="0"/>
              <w:ind w:left="0" w:leftChars="0" w:right="0" w:rightChars="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关联交易类别</w:t>
            </w:r>
          </w:p>
        </w:tc>
        <w:tc>
          <w:tcPr>
            <w:tcW w:w="2310" w:type="dxa"/>
            <w:shd w:val="clear" w:color="auto" w:fill="D7D7D7" w:themeFill="background1" w:themeFillShade="D8"/>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rPr>
              <w:t>关联人</w:t>
            </w:r>
          </w:p>
        </w:tc>
        <w:tc>
          <w:tcPr>
            <w:tcW w:w="4527" w:type="dxa"/>
            <w:gridSpan w:val="2"/>
            <w:shd w:val="clear" w:color="auto" w:fill="D7D7D7" w:themeFill="background1" w:themeFillShade="D8"/>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4</w:t>
            </w:r>
            <w:r>
              <w:rPr>
                <w:rFonts w:hint="default" w:ascii="Times New Roman" w:hAnsi="Times New Roman" w:eastAsia="宋体" w:cs="Times New Roman"/>
                <w:b/>
                <w:bCs/>
                <w:color w:val="auto"/>
                <w:sz w:val="18"/>
                <w:szCs w:val="18"/>
              </w:rPr>
              <w:t>年预计</w:t>
            </w:r>
            <w:r>
              <w:rPr>
                <w:rFonts w:hint="default" w:ascii="Times New Roman" w:hAnsi="Times New Roman" w:eastAsia="宋体" w:cs="Times New Roman"/>
                <w:b/>
                <w:bCs/>
                <w:color w:val="auto"/>
                <w:sz w:val="18"/>
                <w:szCs w:val="18"/>
                <w:lang w:val="en-US" w:eastAsia="zh-CN"/>
              </w:rPr>
              <w:t>授信</w:t>
            </w:r>
            <w:r>
              <w:rPr>
                <w:rFonts w:hint="default" w:ascii="Times New Roman" w:hAnsi="Times New Roman" w:eastAsia="宋体" w:cs="Times New Roman"/>
                <w:b/>
                <w:bCs/>
                <w:color w:val="auto"/>
                <w:sz w:val="18"/>
                <w:szCs w:val="18"/>
              </w:rPr>
              <w:t>额度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84" w:type="dxa"/>
            <w:shd w:val="clear" w:color="auto" w:fill="D8D8D8" w:themeFill="background1" w:themeFillShade="D9"/>
            <w:vAlign w:val="center"/>
          </w:tcPr>
          <w:p>
            <w:pPr>
              <w:pStyle w:val="6"/>
              <w:keepNext w:val="0"/>
              <w:keepLines w:val="0"/>
              <w:widowControl/>
              <w:suppressLineNumbers w:val="0"/>
              <w:ind w:left="0" w:leftChars="0" w:right="0" w:rightChars="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cs="Times New Roman"/>
                <w:b/>
                <w:color w:val="auto"/>
                <w:kern w:val="24"/>
                <w:sz w:val="18"/>
                <w:szCs w:val="18"/>
                <w:lang w:val="en-US" w:eastAsia="zh-CN" w:bidi="ar-SA"/>
              </w:rPr>
              <w:t>授信</w:t>
            </w:r>
          </w:p>
        </w:tc>
        <w:tc>
          <w:tcPr>
            <w:tcW w:w="2310" w:type="dxa"/>
            <w:shd w:val="clear" w:color="auto" w:fill="auto"/>
            <w:tcMar>
              <w:top w:w="13" w:type="dxa"/>
              <w:left w:w="13" w:type="dxa"/>
              <w:bottom w:w="0" w:type="dxa"/>
              <w:right w:w="13" w:type="dxa"/>
            </w:tcMar>
            <w:vAlign w:val="center"/>
          </w:tcPr>
          <w:p>
            <w:pPr>
              <w:pStyle w:val="6"/>
              <w:keepNext w:val="0"/>
              <w:keepLines w:val="0"/>
              <w:widowControl/>
              <w:suppressLineNumbers w:val="0"/>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中广核财务有限责任公司</w:t>
            </w:r>
          </w:p>
        </w:tc>
        <w:tc>
          <w:tcPr>
            <w:tcW w:w="4527" w:type="dxa"/>
            <w:gridSpan w:val="2"/>
            <w:shd w:val="clear" w:color="auto" w:fill="auto"/>
            <w:tcMar>
              <w:top w:w="13" w:type="dxa"/>
              <w:left w:w="13" w:type="dxa"/>
              <w:bottom w:w="0" w:type="dxa"/>
              <w:right w:w="13" w:type="dxa"/>
            </w:tcMar>
            <w:vAlign w:val="center"/>
          </w:tcPr>
          <w:p>
            <w:pPr>
              <w:pStyle w:val="6"/>
              <w:keepNext w:val="0"/>
              <w:keepLines w:val="0"/>
              <w:widowControl/>
              <w:suppressLineNumbers w:val="0"/>
              <w:ind w:left="0" w:right="0"/>
              <w:jc w:val="righ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10</w:t>
            </w:r>
            <w:r>
              <w:rPr>
                <w:rFonts w:hint="default" w:ascii="Times New Roman" w:hAnsi="Times New Roman" w:eastAsia="宋体" w:cs="Times New Roman"/>
                <w:color w:val="auto"/>
                <w:sz w:val="18"/>
                <w:szCs w:val="18"/>
              </w:rPr>
              <w:t>0,000</w:t>
            </w:r>
          </w:p>
        </w:tc>
      </w:tr>
    </w:tbl>
    <w:p>
      <w:pPr>
        <w:pStyle w:val="21"/>
        <w:adjustRightInd w:val="0"/>
        <w:snapToGrid w:val="0"/>
        <w:spacing w:line="360" w:lineRule="auto"/>
        <w:ind w:firstLine="482"/>
        <w:outlineLvl w:val="1"/>
        <w:rPr>
          <w:rFonts w:hint="default" w:ascii="Times New Roman" w:hAnsi="Times New Roman" w:cs="Times New Roman"/>
          <w:b/>
          <w:sz w:val="24"/>
          <w:lang w:val="en-US" w:eastAsia="zh-CN"/>
        </w:rPr>
      </w:pPr>
    </w:p>
    <w:p>
      <w:pPr>
        <w:pStyle w:val="21"/>
        <w:adjustRightInd w:val="0"/>
        <w:snapToGrid w:val="0"/>
        <w:spacing w:line="360" w:lineRule="auto"/>
        <w:ind w:firstLine="482"/>
        <w:outlineLvl w:val="1"/>
        <w:rPr>
          <w:rFonts w:hint="eastAsia" w:ascii="Times New Roman" w:hAnsi="Times New Roman" w:eastAsia="宋体" w:cs="Times New Roman"/>
          <w:b/>
          <w:sz w:val="24"/>
          <w:lang w:eastAsia="zh-CN"/>
        </w:rPr>
      </w:pPr>
      <w:r>
        <w:rPr>
          <w:rFonts w:hint="default" w:ascii="Times New Roman" w:hAnsi="Times New Roman" w:cs="Times New Roman"/>
          <w:b/>
          <w:sz w:val="24"/>
          <w:lang w:val="en-US" w:eastAsia="zh-CN"/>
        </w:rPr>
        <w:t>2、</w:t>
      </w:r>
      <w:r>
        <w:rPr>
          <w:rFonts w:hint="default" w:ascii="Times New Roman" w:hAnsi="Times New Roman" w:cs="Times New Roman"/>
          <w:b/>
          <w:sz w:val="24"/>
        </w:rPr>
        <w:t>202</w:t>
      </w:r>
      <w:r>
        <w:rPr>
          <w:rFonts w:hint="eastAsia" w:cs="Times New Roman"/>
          <w:b/>
          <w:sz w:val="24"/>
          <w:lang w:val="en-US" w:eastAsia="zh-CN"/>
        </w:rPr>
        <w:t>4</w:t>
      </w:r>
      <w:r>
        <w:rPr>
          <w:rFonts w:hint="default" w:ascii="Times New Roman" w:hAnsi="Times New Roman" w:cs="Times New Roman"/>
          <w:b/>
          <w:sz w:val="24"/>
        </w:rPr>
        <w:t>年度</w:t>
      </w:r>
      <w:r>
        <w:rPr>
          <w:rFonts w:hint="default" w:ascii="Times New Roman" w:hAnsi="Times New Roman" w:cs="Times New Roman"/>
          <w:b/>
          <w:sz w:val="24"/>
          <w:lang w:eastAsia="zh-CN"/>
        </w:rPr>
        <w:t>除金融服务以外</w:t>
      </w:r>
      <w:r>
        <w:rPr>
          <w:rFonts w:hint="default" w:ascii="Times New Roman" w:hAnsi="Times New Roman" w:cs="Times New Roman"/>
          <w:b/>
          <w:sz w:val="24"/>
          <w:lang w:val="en-US" w:eastAsia="zh-CN"/>
        </w:rPr>
        <w:t>的</w:t>
      </w:r>
      <w:r>
        <w:rPr>
          <w:rFonts w:hint="default" w:ascii="Times New Roman" w:hAnsi="Times New Roman" w:cs="Times New Roman"/>
          <w:b/>
          <w:sz w:val="24"/>
        </w:rPr>
        <w:t>日常关联交易预计</w:t>
      </w:r>
      <w:r>
        <w:rPr>
          <w:rFonts w:hint="eastAsia" w:cs="Times New Roman"/>
          <w:b/>
          <w:sz w:val="24"/>
          <w:lang w:val="en-US" w:eastAsia="zh-CN"/>
        </w:rPr>
        <w:t>金额和类别</w:t>
      </w:r>
    </w:p>
    <w:p>
      <w:pPr>
        <w:adjustRightInd w:val="0"/>
        <w:snapToGrid w:val="0"/>
        <w:jc w:val="right"/>
        <w:rPr>
          <w:rFonts w:hint="default" w:ascii="Times New Roman" w:hAnsi="Times New Roman" w:cs="Times New Roman"/>
          <w:kern w:val="2"/>
          <w:sz w:val="18"/>
          <w:szCs w:val="18"/>
        </w:rPr>
      </w:pPr>
      <w:r>
        <w:rPr>
          <w:rFonts w:hint="default" w:ascii="Times New Roman" w:hAnsi="Times New Roman" w:cs="Times New Roman"/>
          <w:kern w:val="2"/>
          <w:sz w:val="18"/>
          <w:szCs w:val="18"/>
        </w:rPr>
        <w:t>单位：万元</w:t>
      </w:r>
    </w:p>
    <w:tbl>
      <w:tblPr>
        <w:tblStyle w:val="8"/>
        <w:tblpPr w:leftFromText="180" w:rightFromText="180" w:vertAnchor="text" w:horzAnchor="page" w:tblpX="1667" w:tblpY="286"/>
        <w:tblOverlap w:val="never"/>
        <w:tblW w:w="86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98"/>
        <w:gridCol w:w="1450"/>
        <w:gridCol w:w="1534"/>
        <w:gridCol w:w="1066"/>
        <w:gridCol w:w="1217"/>
        <w:gridCol w:w="1117"/>
        <w:gridCol w:w="1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1" w:hRule="atLeast"/>
          <w:tblHeader/>
        </w:trPr>
        <w:tc>
          <w:tcPr>
            <w:tcW w:w="998"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关联交易类别</w:t>
            </w:r>
          </w:p>
        </w:tc>
        <w:tc>
          <w:tcPr>
            <w:tcW w:w="1450"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关联人</w:t>
            </w:r>
          </w:p>
        </w:tc>
        <w:tc>
          <w:tcPr>
            <w:tcW w:w="1534"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关联交易内容</w:t>
            </w:r>
          </w:p>
        </w:tc>
        <w:tc>
          <w:tcPr>
            <w:tcW w:w="1066"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关联交易定价原则</w:t>
            </w:r>
          </w:p>
        </w:tc>
        <w:tc>
          <w:tcPr>
            <w:tcW w:w="1217"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default" w:ascii="Times New Roman" w:hAnsi="Times New Roman" w:cs="Times New Roman"/>
                <w:b/>
                <w:kern w:val="24"/>
                <w:sz w:val="18"/>
                <w:szCs w:val="18"/>
              </w:rPr>
              <w:t>合同签订金额或预计金额</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截至披露日已发生金额</w:t>
            </w:r>
          </w:p>
        </w:tc>
        <w:tc>
          <w:tcPr>
            <w:tcW w:w="1311"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上年发生金额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b/>
                <w:bCs/>
                <w:spacing w:val="-4"/>
                <w:sz w:val="18"/>
                <w:szCs w:val="18"/>
              </w:rPr>
              <w:t>向关联人采购原材料、商品及燃料和动力</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rPr>
              <w:t>向关联人采购产品、商品</w:t>
            </w:r>
            <w:r>
              <w:rPr>
                <w:rFonts w:hint="eastAsia" w:asciiTheme="minorEastAsia" w:hAnsiTheme="minorEastAsia" w:eastAsiaTheme="minorEastAsia" w:cstheme="minorEastAsia"/>
                <w:spacing w:val="-4"/>
                <w:sz w:val="18"/>
                <w:szCs w:val="18"/>
                <w:lang w:eastAsia="zh-CN"/>
              </w:rPr>
              <w:t>、</w:t>
            </w:r>
            <w:r>
              <w:rPr>
                <w:rFonts w:hint="eastAsia" w:asciiTheme="minorEastAsia" w:hAnsiTheme="minorEastAsia" w:eastAsiaTheme="minorEastAsia" w:cstheme="minorEastAsia"/>
                <w:spacing w:val="-4"/>
                <w:sz w:val="18"/>
                <w:szCs w:val="18"/>
                <w:lang w:val="en-US" w:eastAsia="zh-CN"/>
              </w:rPr>
              <w:t>动力</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3,856.73</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19.10</w:t>
            </w:r>
          </w:p>
        </w:tc>
        <w:tc>
          <w:tcPr>
            <w:tcW w:w="1311"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1,302.13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0" w:hRule="atLeast"/>
        </w:trPr>
        <w:tc>
          <w:tcPr>
            <w:tcW w:w="998" w:type="dxa"/>
            <w:vMerge w:val="continue"/>
            <w:shd w:val="clear" w:color="auto" w:fill="D8D8D8" w:themeFill="background1" w:themeFillShade="D9"/>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b/>
                <w:sz w:val="18"/>
                <w:szCs w:val="18"/>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rPr>
            </w:pPr>
            <w:r>
              <w:rPr>
                <w:rFonts w:hint="eastAsia" w:asciiTheme="minorEastAsia" w:hAnsiTheme="minorEastAsia" w:eastAsiaTheme="minorEastAsia" w:cstheme="minorEastAsia"/>
                <w:b/>
                <w:bCs/>
                <w:spacing w:val="-4"/>
                <w:sz w:val="18"/>
                <w:szCs w:val="18"/>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rPr>
              <w:t>3,856.73</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19.10</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color w:val="000000"/>
                <w:kern w:val="0"/>
                <w:sz w:val="18"/>
                <w:szCs w:val="18"/>
                <w:u w:val="none"/>
                <w:lang w:val="en-US" w:eastAsia="zh-CN" w:bidi="ar"/>
              </w:rPr>
              <w:t>1,302.13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接受关联人提供的劳务</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接受关联人提供的劳务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eastAsia="zh-CN"/>
              </w:rPr>
              <w:t>3,089.84</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128.03</w:t>
            </w:r>
          </w:p>
        </w:tc>
        <w:tc>
          <w:tcPr>
            <w:tcW w:w="1311"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3,062.08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接受关联人提供的劳务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i w:val="0"/>
                <w:iCs w:val="0"/>
                <w:snapToGrid w:val="0"/>
                <w:color w:val="000000"/>
                <w:sz w:val="18"/>
                <w:szCs w:val="18"/>
                <w:u w:val="none"/>
                <w:lang w:val="en-US" w:eastAsia="zh-CN" w:bidi="ar-SA"/>
              </w:rPr>
            </w:pPr>
            <w:r>
              <w:rPr>
                <w:rFonts w:hint="default" w:ascii="Times New Roman" w:hAnsi="Times New Roman" w:cs="Times New Roman" w:eastAsiaTheme="minorEastAsia"/>
                <w:spacing w:val="-4"/>
                <w:sz w:val="18"/>
                <w:szCs w:val="18"/>
                <w:lang w:val="en-US" w:eastAsia="zh-CN"/>
              </w:rPr>
              <w:t xml:space="preserve">1,012.20 </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0.80</w:t>
            </w:r>
          </w:p>
        </w:tc>
        <w:tc>
          <w:tcPr>
            <w:tcW w:w="1311"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1,623.23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eastAsiaTheme="minorEastAsia"/>
                <w:b/>
                <w:bCs/>
                <w:i w:val="0"/>
                <w:iCs w:val="0"/>
                <w:snapToGrid w:val="0"/>
                <w:color w:val="000000"/>
                <w:sz w:val="18"/>
                <w:szCs w:val="18"/>
                <w:u w:val="none"/>
                <w:lang w:val="en-US" w:eastAsia="zh-CN" w:bidi="ar-SA"/>
              </w:rPr>
            </w:pPr>
            <w:r>
              <w:rPr>
                <w:rFonts w:hint="default" w:ascii="Times New Roman" w:hAnsi="Times New Roman" w:cs="Times New Roman" w:eastAsiaTheme="minorEastAsia"/>
                <w:b/>
                <w:bCs/>
                <w:spacing w:val="-4"/>
                <w:sz w:val="18"/>
                <w:szCs w:val="18"/>
                <w:lang w:val="en-US" w:eastAsia="zh-CN"/>
              </w:rPr>
              <w:t>4,102.04</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128.83</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4,685.31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向关联人销售产品、商品</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向关联人销售产品、商品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4,110.14</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408.23</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5,331.78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向关联人销售产品、商品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7.50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0.76</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25.43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4,117.64</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408.99</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5,357.21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向关联人提供劳务</w:t>
            </w: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中广核核技术应用有限公司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向关联人提供的劳务、托管费</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1,245.82</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974.59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中国广核集团有限公司及其</w:t>
            </w:r>
            <w:r>
              <w:rPr>
                <w:rFonts w:hint="eastAsia" w:asciiTheme="minorEastAsia" w:hAnsiTheme="minorEastAsia" w:eastAsiaTheme="minorEastAsia" w:cstheme="minorEastAsia"/>
                <w:spacing w:val="-4"/>
                <w:sz w:val="18"/>
                <w:szCs w:val="18"/>
                <w:lang w:val="en-US" w:eastAsia="zh-CN"/>
              </w:rPr>
              <w:t>他</w:t>
            </w:r>
            <w:r>
              <w:rPr>
                <w:rFonts w:hint="eastAsia" w:asciiTheme="minorEastAsia" w:hAnsiTheme="minorEastAsia" w:eastAsiaTheme="minorEastAsia" w:cstheme="minorEastAsia"/>
                <w:spacing w:val="-4"/>
                <w:sz w:val="18"/>
                <w:szCs w:val="18"/>
                <w:lang w:eastAsia="zh-CN"/>
              </w:rPr>
              <w:t>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向关联人提供的劳务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637.82</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1,883.64</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0</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1,561.58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其他</w:t>
            </w: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eastAsia="zh-CN"/>
              </w:rPr>
              <w:t>中国广核集团有限公司下属子公司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提供租赁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400.00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提供租赁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75.98</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8.89</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167</w:t>
            </w:r>
            <w:r>
              <w:rPr>
                <w:rFonts w:hint="eastAsia" w:ascii="Times New Roman" w:hAnsi="Times New Roman" w:cs="Times New Roman" w:eastAsiaTheme="minorEastAsia"/>
                <w:spacing w:val="-4"/>
                <w:sz w:val="18"/>
                <w:szCs w:val="18"/>
                <w:lang w:val="en-US" w:eastAsia="zh-CN"/>
              </w:rPr>
              <w:t>.</w:t>
            </w:r>
            <w:r>
              <w:rPr>
                <w:rFonts w:hint="default" w:ascii="Times New Roman" w:hAnsi="Times New Roman" w:cs="Times New Roman" w:eastAsiaTheme="minorEastAsia"/>
                <w:spacing w:val="-4"/>
                <w:sz w:val="18"/>
                <w:szCs w:val="18"/>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eastAsia="zh-CN"/>
              </w:rPr>
              <w:t>接受租赁、</w:t>
            </w:r>
            <w:r>
              <w:rPr>
                <w:rFonts w:hint="eastAsia" w:asciiTheme="minorEastAsia" w:hAnsiTheme="minorEastAsia" w:eastAsiaTheme="minorEastAsia" w:cstheme="minorEastAsia"/>
                <w:spacing w:val="-4"/>
                <w:sz w:val="18"/>
                <w:szCs w:val="18"/>
                <w:lang w:val="en-US" w:eastAsia="zh-CN"/>
              </w:rPr>
              <w:t>物业服务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1,360.00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8.91</w:t>
            </w:r>
          </w:p>
        </w:tc>
        <w:tc>
          <w:tcPr>
            <w:tcW w:w="1311"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中国大连国际经济</w:t>
            </w:r>
            <w:r>
              <w:rPr>
                <w:rFonts w:hint="eastAsia" w:asciiTheme="minorEastAsia" w:hAnsiTheme="minorEastAsia" w:eastAsiaTheme="minorEastAsia" w:cstheme="minorEastAsia"/>
                <w:spacing w:val="-4"/>
                <w:sz w:val="18"/>
                <w:szCs w:val="18"/>
                <w:lang w:val="en-US" w:eastAsia="zh-CN"/>
              </w:rPr>
              <w:t>技</w:t>
            </w:r>
            <w:r>
              <w:rPr>
                <w:rFonts w:hint="eastAsia" w:asciiTheme="minorEastAsia" w:hAnsiTheme="minorEastAsia" w:eastAsiaTheme="minorEastAsia" w:cstheme="minorEastAsia"/>
                <w:spacing w:val="-4"/>
                <w:sz w:val="18"/>
                <w:szCs w:val="18"/>
                <w:lang w:eastAsia="zh-CN"/>
              </w:rPr>
              <w:t>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接受租赁、</w:t>
            </w:r>
            <w:r>
              <w:rPr>
                <w:rFonts w:hint="eastAsia" w:asciiTheme="minorEastAsia" w:hAnsiTheme="minorEastAsia" w:eastAsiaTheme="minorEastAsia" w:cstheme="minorEastAsia"/>
                <w:spacing w:val="-4"/>
                <w:sz w:val="18"/>
                <w:szCs w:val="18"/>
                <w:lang w:val="en-US" w:eastAsia="zh-CN"/>
              </w:rPr>
              <w:t>物业服务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361.80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69.95</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268.30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2,197.78</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87.75</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1,014.56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5048" w:type="dxa"/>
            <w:gridSpan w:val="4"/>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合计</w:t>
            </w:r>
          </w:p>
        </w:tc>
        <w:tc>
          <w:tcPr>
            <w:tcW w:w="1217" w:type="dxa"/>
            <w:shd w:val="clear" w:color="auto" w:fill="D8D8D8" w:themeFill="background1" w:themeFillShade="D9"/>
            <w:tcMar>
              <w:top w:w="15" w:type="dxa"/>
              <w:left w:w="15" w:type="dxa"/>
              <w:bottom w:w="0"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eastAsiaTheme="minorEastAsia"/>
                <w:b/>
                <w:bCs/>
                <w:i w:val="0"/>
                <w:iCs w:val="0"/>
                <w:snapToGrid w:val="0"/>
                <w:color w:val="000000"/>
                <w:sz w:val="18"/>
                <w:szCs w:val="18"/>
                <w:u w:val="none"/>
                <w:lang w:val="en-US" w:eastAsia="zh-CN" w:bidi="ar-SA"/>
              </w:rPr>
            </w:pPr>
            <w:r>
              <w:rPr>
                <w:rFonts w:hint="default" w:ascii="Times New Roman" w:hAnsi="Times New Roman" w:cs="Times New Roman" w:eastAsiaTheme="minorEastAsia"/>
                <w:b/>
                <w:bCs/>
                <w:spacing w:val="-4"/>
                <w:sz w:val="18"/>
                <w:szCs w:val="18"/>
                <w:lang w:val="en-US" w:eastAsia="zh-CN"/>
              </w:rPr>
              <w:t xml:space="preserve">16,157.83 </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644.67</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13,920.79</w:t>
            </w:r>
          </w:p>
        </w:tc>
      </w:tr>
    </w:tbl>
    <w:p>
      <w:pPr>
        <w:pStyle w:val="21"/>
        <w:adjustRightInd w:val="0"/>
        <w:snapToGrid w:val="0"/>
        <w:spacing w:before="180" w:beforeLines="50" w:line="360" w:lineRule="auto"/>
        <w:ind w:firstLine="482"/>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（三）202</w:t>
      </w:r>
      <w:r>
        <w:rPr>
          <w:rFonts w:hint="eastAsia" w:cs="Times New Roman"/>
          <w:b/>
          <w:sz w:val="24"/>
          <w:highlight w:val="none"/>
          <w:lang w:val="en-US" w:eastAsia="zh-CN"/>
        </w:rPr>
        <w:t>3</w:t>
      </w:r>
      <w:r>
        <w:rPr>
          <w:rFonts w:hint="default" w:ascii="Times New Roman" w:hAnsi="Times New Roman" w:cs="Times New Roman"/>
          <w:b/>
          <w:sz w:val="24"/>
          <w:highlight w:val="none"/>
        </w:rPr>
        <w:t>年度日常关联交易实际发生情况</w:t>
      </w:r>
    </w:p>
    <w:p>
      <w:pPr>
        <w:pStyle w:val="21"/>
        <w:adjustRightInd w:val="0"/>
        <w:snapToGrid w:val="0"/>
        <w:spacing w:line="360" w:lineRule="auto"/>
        <w:ind w:firstLine="482"/>
        <w:outlineLvl w:val="1"/>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1、202</w:t>
      </w:r>
      <w:r>
        <w:rPr>
          <w:rFonts w:hint="eastAsia" w:cs="Times New Roman"/>
          <w:b/>
          <w:sz w:val="24"/>
          <w:lang w:val="en-US" w:eastAsia="zh-CN"/>
        </w:rPr>
        <w:t>3</w:t>
      </w:r>
      <w:r>
        <w:rPr>
          <w:rFonts w:hint="default" w:ascii="Times New Roman" w:hAnsi="Times New Roman" w:cs="Times New Roman"/>
          <w:b/>
          <w:sz w:val="24"/>
          <w:lang w:val="en-US" w:eastAsia="zh-CN"/>
        </w:rPr>
        <w:t>年度与财务公司的往来情况</w:t>
      </w:r>
    </w:p>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存款业务</w:t>
      </w:r>
    </w:p>
    <w:tbl>
      <w:tblPr>
        <w:tblStyle w:val="8"/>
        <w:tblW w:w="8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68"/>
        <w:gridCol w:w="1091"/>
        <w:gridCol w:w="1284"/>
        <w:gridCol w:w="1170"/>
        <w:gridCol w:w="924"/>
        <w:gridCol w:w="1200"/>
        <w:gridCol w:w="1183"/>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 w:hRule="atLeast"/>
          <w:tblHeader/>
          <w:jc w:val="center"/>
        </w:trPr>
        <w:tc>
          <w:tcPr>
            <w:tcW w:w="968"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关联方</w:t>
            </w:r>
          </w:p>
        </w:tc>
        <w:tc>
          <w:tcPr>
            <w:tcW w:w="1091"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关联关系</w:t>
            </w:r>
          </w:p>
        </w:tc>
        <w:tc>
          <w:tcPr>
            <w:tcW w:w="1284"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每日最高存款限额（万元）</w:t>
            </w:r>
          </w:p>
        </w:tc>
        <w:tc>
          <w:tcPr>
            <w:tcW w:w="1170"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存款利率范围</w:t>
            </w:r>
          </w:p>
        </w:tc>
        <w:tc>
          <w:tcPr>
            <w:tcW w:w="924"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kern w:val="24"/>
                <w:sz w:val="18"/>
                <w:szCs w:val="18"/>
                <w:lang w:val="en-US" w:eastAsia="zh-CN" w:bidi="ar-SA"/>
              </w:rPr>
              <w:t>期初余额（万元）</w:t>
            </w:r>
          </w:p>
        </w:tc>
        <w:tc>
          <w:tcPr>
            <w:tcW w:w="2383" w:type="dxa"/>
            <w:gridSpan w:val="2"/>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bCs/>
                <w:color w:val="auto"/>
                <w:sz w:val="18"/>
                <w:szCs w:val="18"/>
              </w:rPr>
              <w:t>本期发生额</w:t>
            </w:r>
          </w:p>
        </w:tc>
        <w:tc>
          <w:tcPr>
            <w:tcW w:w="919"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kern w:val="24"/>
                <w:sz w:val="18"/>
                <w:szCs w:val="18"/>
                <w:lang w:val="en-US" w:eastAsia="zh-CN" w:bidi="ar-SA"/>
              </w:rPr>
              <w:t>期末余额（万元）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968"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091"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284"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170"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924" w:type="dxa"/>
            <w:vMerge w:val="continue"/>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c>
          <w:tcPr>
            <w:tcW w:w="1200" w:type="dxa"/>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本期合计存入金额（万元）</w:t>
            </w:r>
          </w:p>
        </w:tc>
        <w:tc>
          <w:tcPr>
            <w:tcW w:w="1183" w:type="dxa"/>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本期合计取出金额（万元）</w:t>
            </w:r>
          </w:p>
        </w:tc>
        <w:tc>
          <w:tcPr>
            <w:tcW w:w="919" w:type="dxa"/>
            <w:vMerge w:val="continue"/>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968"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中广核财务有限责任公司</w:t>
            </w:r>
          </w:p>
        </w:tc>
        <w:tc>
          <w:tcPr>
            <w:tcW w:w="1091" w:type="dxa"/>
            <w:shd w:val="clear" w:color="auto" w:fill="auto"/>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128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rPr>
            </w:pPr>
            <w:r>
              <w:rPr>
                <w:rFonts w:hint="default" w:ascii="Times New Roman" w:hAnsi="Times New Roman" w:eastAsia="仿宋_GB2312" w:cs="Times New Roman"/>
                <w:b w:val="0"/>
                <w:bCs w:val="0"/>
                <w:spacing w:val="-4"/>
                <w:sz w:val="18"/>
                <w:szCs w:val="18"/>
                <w:lang w:val="en-US" w:eastAsia="zh-CN"/>
              </w:rPr>
              <w:t>300,000 </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rPr>
            </w:pPr>
            <w:r>
              <w:rPr>
                <w:rFonts w:hint="default" w:ascii="Times New Roman" w:hAnsi="Times New Roman" w:eastAsia="仿宋_GB2312" w:cs="Times New Roman"/>
                <w:b w:val="0"/>
                <w:bCs w:val="0"/>
                <w:spacing w:val="-4"/>
                <w:sz w:val="18"/>
                <w:szCs w:val="18"/>
                <w:lang w:val="en-US" w:eastAsia="zh-CN"/>
              </w:rPr>
              <w:t>0.0001%-3.2%</w:t>
            </w:r>
          </w:p>
        </w:tc>
        <w:tc>
          <w:tcPr>
            <w:tcW w:w="924"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76,275.09</w:t>
            </w:r>
          </w:p>
        </w:tc>
        <w:tc>
          <w:tcPr>
            <w:tcW w:w="120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837,554.43</w:t>
            </w:r>
          </w:p>
        </w:tc>
        <w:tc>
          <w:tcPr>
            <w:tcW w:w="1183"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851,427.88</w:t>
            </w:r>
          </w:p>
        </w:tc>
        <w:tc>
          <w:tcPr>
            <w:tcW w:w="919"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 62,401.64</w:t>
            </w:r>
          </w:p>
        </w:tc>
      </w:tr>
    </w:tbl>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贷款业务</w:t>
      </w:r>
    </w:p>
    <w:tbl>
      <w:tblPr>
        <w:tblStyle w:val="8"/>
        <w:tblW w:w="8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47"/>
        <w:gridCol w:w="1187"/>
        <w:gridCol w:w="1050"/>
        <w:gridCol w:w="825"/>
        <w:gridCol w:w="1170"/>
        <w:gridCol w:w="1170"/>
        <w:gridCol w:w="1170"/>
        <w:gridCol w:w="1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 w:hRule="atLeast"/>
          <w:tblHeader/>
          <w:jc w:val="center"/>
        </w:trPr>
        <w:tc>
          <w:tcPr>
            <w:tcW w:w="1047"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关联方</w:t>
            </w:r>
          </w:p>
        </w:tc>
        <w:tc>
          <w:tcPr>
            <w:tcW w:w="1187"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关联关系</w:t>
            </w:r>
          </w:p>
        </w:tc>
        <w:tc>
          <w:tcPr>
            <w:tcW w:w="1050"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贷款额度（万元）</w:t>
            </w:r>
          </w:p>
        </w:tc>
        <w:tc>
          <w:tcPr>
            <w:tcW w:w="825"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贷款利率范围</w:t>
            </w:r>
          </w:p>
        </w:tc>
        <w:tc>
          <w:tcPr>
            <w:tcW w:w="1170"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期初余额（万元）</w:t>
            </w:r>
          </w:p>
        </w:tc>
        <w:tc>
          <w:tcPr>
            <w:tcW w:w="2340" w:type="dxa"/>
            <w:gridSpan w:val="2"/>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本期发生额</w:t>
            </w:r>
          </w:p>
        </w:tc>
        <w:tc>
          <w:tcPr>
            <w:tcW w:w="1119"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color w:val="auto"/>
                <w:kern w:val="24"/>
                <w:sz w:val="18"/>
                <w:szCs w:val="18"/>
                <w:lang w:val="en-US" w:eastAsia="zh-CN" w:bidi="ar-SA"/>
              </w:rPr>
              <w:t>期末余额（万元）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047"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1187"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1050"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825"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1170" w:type="dxa"/>
            <w:vMerge w:val="continue"/>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auto"/>
                <w:sz w:val="18"/>
                <w:szCs w:val="18"/>
              </w:rPr>
            </w:pPr>
          </w:p>
        </w:tc>
        <w:tc>
          <w:tcPr>
            <w:tcW w:w="1170" w:type="dxa"/>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本期合计贷款金额（万元）</w:t>
            </w:r>
          </w:p>
        </w:tc>
        <w:tc>
          <w:tcPr>
            <w:tcW w:w="1170" w:type="dxa"/>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本期合计还款金额（万元）</w:t>
            </w:r>
          </w:p>
        </w:tc>
        <w:tc>
          <w:tcPr>
            <w:tcW w:w="1119" w:type="dxa"/>
            <w:vMerge w:val="continue"/>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047"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中广核财务有限责任公司</w:t>
            </w:r>
          </w:p>
        </w:tc>
        <w:tc>
          <w:tcPr>
            <w:tcW w:w="1187" w:type="dxa"/>
            <w:shd w:val="clear" w:color="auto" w:fill="auto"/>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10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rPr>
            </w:pPr>
            <w:r>
              <w:rPr>
                <w:rFonts w:hint="default" w:ascii="Times New Roman" w:hAnsi="Times New Roman" w:eastAsia="仿宋_GB2312" w:cs="Times New Roman"/>
                <w:b w:val="0"/>
                <w:bCs w:val="0"/>
                <w:spacing w:val="-4"/>
                <w:sz w:val="18"/>
                <w:szCs w:val="18"/>
                <w:lang w:val="en-US" w:eastAsia="zh-CN"/>
              </w:rPr>
              <w:t>340,000 </w:t>
            </w:r>
          </w:p>
        </w:tc>
        <w:tc>
          <w:tcPr>
            <w:tcW w:w="825"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仿宋_GB2312" w:cs="Times New Roman"/>
                <w:b w:val="0"/>
                <w:bCs w:val="0"/>
                <w:spacing w:val="-4"/>
                <w:sz w:val="18"/>
                <w:szCs w:val="18"/>
                <w:lang w:val="en-US" w:eastAsia="zh-CN"/>
              </w:rPr>
            </w:pP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2.8%</w:t>
            </w: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rPr>
            </w:pP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0</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36,009.33</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26,000.00</w:t>
            </w:r>
          </w:p>
        </w:tc>
        <w:tc>
          <w:tcPr>
            <w:tcW w:w="1119"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仿宋_GB2312" w:cs="Times New Roman"/>
                <w:b w:val="0"/>
                <w:bCs w:val="0"/>
                <w:spacing w:val="-4"/>
                <w:sz w:val="18"/>
                <w:szCs w:val="18"/>
                <w:lang w:val="en-US" w:eastAsia="zh-CN"/>
              </w:rPr>
              <w:t>10,009.33</w:t>
            </w:r>
          </w:p>
        </w:tc>
      </w:tr>
    </w:tbl>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授信或其他金融业务</w:t>
      </w:r>
    </w:p>
    <w:tbl>
      <w:tblPr>
        <w:tblStyle w:val="8"/>
        <w:tblW w:w="86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73"/>
        <w:gridCol w:w="2087"/>
        <w:gridCol w:w="1296"/>
        <w:gridCol w:w="1335"/>
        <w:gridCol w:w="1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5" w:hRule="atLeast"/>
          <w:tblHeader/>
          <w:jc w:val="center"/>
        </w:trPr>
        <w:tc>
          <w:tcPr>
            <w:tcW w:w="2273"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关联方</w:t>
            </w:r>
          </w:p>
        </w:tc>
        <w:tc>
          <w:tcPr>
            <w:tcW w:w="2087"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关联关系</w:t>
            </w:r>
          </w:p>
        </w:tc>
        <w:tc>
          <w:tcPr>
            <w:tcW w:w="1296" w:type="dxa"/>
            <w:vMerge w:val="restart"/>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业务类型</w:t>
            </w:r>
          </w:p>
        </w:tc>
        <w:tc>
          <w:tcPr>
            <w:tcW w:w="1335"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总额（万元）</w:t>
            </w:r>
          </w:p>
        </w:tc>
        <w:tc>
          <w:tcPr>
            <w:tcW w:w="1687" w:type="dxa"/>
            <w:vMerge w:val="restart"/>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实际发生额（万元）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atLeast"/>
          <w:tblHeader/>
          <w:jc w:val="center"/>
        </w:trPr>
        <w:tc>
          <w:tcPr>
            <w:tcW w:w="2273"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2087"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296" w:type="dxa"/>
            <w:vMerge w:val="continue"/>
            <w:shd w:val="clear" w:color="auto" w:fill="D8D8D8" w:themeFill="background1" w:themeFillShade="D9"/>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335" w:type="dxa"/>
            <w:vMerge w:val="continue"/>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687" w:type="dxa"/>
            <w:vMerge w:val="continue"/>
            <w:shd w:val="clear" w:color="auto" w:fill="D8D8D8" w:themeFill="background1" w:themeFillShade="D9"/>
            <w:vAlign w:val="center"/>
          </w:tcPr>
          <w:p>
            <w:pPr>
              <w:pStyle w:val="6"/>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273" w:type="dxa"/>
            <w:shd w:val="clear" w:color="auto" w:fill="D8D8D8" w:themeFill="background1" w:themeFillShade="D9"/>
            <w:vAlign w:val="center"/>
          </w:tcPr>
          <w:p>
            <w:pPr>
              <w:pStyle w:val="6"/>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中广核财务有限责任公司</w:t>
            </w:r>
          </w:p>
        </w:tc>
        <w:tc>
          <w:tcPr>
            <w:tcW w:w="2087" w:type="dxa"/>
            <w:shd w:val="clear" w:color="auto" w:fill="auto"/>
            <w:tcMar>
              <w:top w:w="13" w:type="dxa"/>
              <w:left w:w="13" w:type="dxa"/>
              <w:bottom w:w="0" w:type="dxa"/>
              <w:right w:w="13" w:type="dxa"/>
            </w:tcMar>
            <w:vAlign w:val="center"/>
          </w:tcPr>
          <w:p>
            <w:pPr>
              <w:pStyle w:val="6"/>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1296" w:type="dxa"/>
            <w:shd w:val="clear" w:color="auto" w:fill="auto"/>
            <w:tcMar>
              <w:top w:w="13" w:type="dxa"/>
              <w:left w:w="13" w:type="dxa"/>
              <w:bottom w:w="0" w:type="dxa"/>
              <w:right w:w="13"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24"/>
              </w:rPr>
              <w:t>授信</w:t>
            </w:r>
          </w:p>
        </w:tc>
        <w:tc>
          <w:tcPr>
            <w:tcW w:w="1335"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仿宋_GB2312" w:cs="Times New Roman"/>
                <w:b w:val="0"/>
                <w:bCs w:val="0"/>
                <w:spacing w:val="-4"/>
                <w:sz w:val="18"/>
                <w:szCs w:val="18"/>
                <w:lang w:val="en-US" w:eastAsia="zh-CN"/>
              </w:rPr>
              <w:t>100,000</w:t>
            </w:r>
          </w:p>
        </w:tc>
        <w:tc>
          <w:tcPr>
            <w:tcW w:w="168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仿宋_GB2312" w:cs="Times New Roman"/>
                <w:b w:val="0"/>
                <w:bCs w:val="0"/>
                <w:spacing w:val="-4"/>
                <w:sz w:val="18"/>
                <w:szCs w:val="18"/>
                <w:lang w:val="en-US" w:eastAsia="zh-CN"/>
              </w:rPr>
              <w:t>36,009.33</w:t>
            </w:r>
          </w:p>
        </w:tc>
      </w:tr>
    </w:tbl>
    <w:p>
      <w:pPr>
        <w:pStyle w:val="21"/>
        <w:adjustRightInd w:val="0"/>
        <w:snapToGrid w:val="0"/>
        <w:spacing w:line="360" w:lineRule="auto"/>
        <w:ind w:firstLine="482"/>
        <w:outlineLvl w:val="1"/>
        <w:rPr>
          <w:rFonts w:hint="default" w:ascii="Times New Roman" w:hAnsi="Times New Roman" w:eastAsia="宋体" w:cs="Times New Roman"/>
          <w:kern w:val="2"/>
          <w:sz w:val="24"/>
          <w:szCs w:val="20"/>
          <w:lang w:val="en-US" w:eastAsia="zh-CN" w:bidi="ar-SA"/>
        </w:rPr>
      </w:pPr>
      <w:r>
        <w:rPr>
          <w:rFonts w:hint="default" w:ascii="Times New Roman" w:hAnsi="Times New Roman" w:eastAsia="宋体" w:cs="Times New Roman"/>
          <w:kern w:val="2"/>
          <w:sz w:val="24"/>
          <w:szCs w:val="20"/>
          <w:lang w:val="en-US" w:eastAsia="zh-CN" w:bidi="ar-SA"/>
        </w:rPr>
        <w:t>公司在中广核财务有限责任公司开设外币存贷款账户。2023年，公司人民币存款利率范围为0.2%-1.65%，外币存款利率范围为0.0001%-3.2%。</w:t>
      </w:r>
    </w:p>
    <w:p>
      <w:pPr>
        <w:pStyle w:val="21"/>
        <w:adjustRightInd w:val="0"/>
        <w:snapToGrid w:val="0"/>
        <w:spacing w:line="360" w:lineRule="auto"/>
        <w:ind w:firstLine="482"/>
        <w:outlineLvl w:val="1"/>
        <w:rPr>
          <w:rFonts w:hint="default" w:ascii="Times New Roman" w:hAnsi="Times New Roman" w:cs="Times New Roman"/>
          <w:b/>
          <w:sz w:val="24"/>
          <w:highlight w:val="none"/>
          <w:lang w:val="en-US" w:eastAsia="zh-CN"/>
        </w:rPr>
      </w:pPr>
      <w:r>
        <w:rPr>
          <w:rFonts w:hint="default" w:ascii="Times New Roman" w:hAnsi="Times New Roman" w:cs="Times New Roman"/>
          <w:b/>
          <w:sz w:val="24"/>
          <w:highlight w:val="none"/>
          <w:lang w:val="en-US" w:eastAsia="zh-CN"/>
        </w:rPr>
        <w:t>2、202</w:t>
      </w:r>
      <w:r>
        <w:rPr>
          <w:rFonts w:hint="eastAsia" w:cs="Times New Roman"/>
          <w:b/>
          <w:sz w:val="24"/>
          <w:highlight w:val="none"/>
          <w:lang w:val="en-US" w:eastAsia="zh-CN"/>
        </w:rPr>
        <w:t>3</w:t>
      </w:r>
      <w:r>
        <w:rPr>
          <w:rFonts w:hint="default" w:ascii="Times New Roman" w:hAnsi="Times New Roman" w:cs="Times New Roman"/>
          <w:b/>
          <w:sz w:val="24"/>
          <w:highlight w:val="none"/>
          <w:lang w:val="en-US" w:eastAsia="zh-CN"/>
        </w:rPr>
        <w:t>年度除金融服务以外的日常关联交易</w:t>
      </w:r>
      <w:r>
        <w:rPr>
          <w:rFonts w:hint="eastAsia" w:cs="Times New Roman"/>
          <w:b/>
          <w:sz w:val="24"/>
          <w:highlight w:val="none"/>
          <w:lang w:val="en-US" w:eastAsia="zh-CN"/>
        </w:rPr>
        <w:t>实际</w:t>
      </w:r>
      <w:r>
        <w:rPr>
          <w:rFonts w:hint="default" w:ascii="Times New Roman" w:hAnsi="Times New Roman" w:cs="Times New Roman"/>
          <w:b/>
          <w:sz w:val="24"/>
          <w:highlight w:val="none"/>
          <w:lang w:val="en-US" w:eastAsia="zh-CN"/>
        </w:rPr>
        <w:t>发生情况</w:t>
      </w:r>
    </w:p>
    <w:p>
      <w:pPr>
        <w:adjustRightInd w:val="0"/>
        <w:snapToGrid w:val="0"/>
        <w:jc w:val="right"/>
        <w:rPr>
          <w:rFonts w:hint="default" w:ascii="Times New Roman" w:hAnsi="Times New Roman" w:cs="Times New Roman"/>
          <w:kern w:val="2"/>
          <w:sz w:val="18"/>
          <w:szCs w:val="18"/>
        </w:rPr>
      </w:pPr>
      <w:r>
        <w:rPr>
          <w:rFonts w:hint="default" w:ascii="Times New Roman" w:hAnsi="Times New Roman" w:cs="Times New Roman"/>
          <w:kern w:val="2"/>
          <w:sz w:val="18"/>
          <w:szCs w:val="18"/>
        </w:rPr>
        <w:t>单位：万元</w:t>
      </w:r>
    </w:p>
    <w:tbl>
      <w:tblPr>
        <w:tblStyle w:val="8"/>
        <w:tblW w:w="496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365"/>
        <w:gridCol w:w="1251"/>
        <w:gridCol w:w="1053"/>
        <w:gridCol w:w="1052"/>
        <w:gridCol w:w="1086"/>
        <w:gridCol w:w="1086"/>
        <w:gridCol w:w="1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blHeader/>
        </w:trPr>
        <w:tc>
          <w:tcPr>
            <w:tcW w:w="454"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关联交易类别</w:t>
            </w: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关联人</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关联交易</w:t>
            </w: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内容</w:t>
            </w:r>
          </w:p>
        </w:tc>
        <w:tc>
          <w:tcPr>
            <w:tcW w:w="592"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实际发生金额</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预计金额</w:t>
            </w:r>
          </w:p>
        </w:tc>
        <w:tc>
          <w:tcPr>
            <w:tcW w:w="61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实际发生额占同类业务比例</w:t>
            </w:r>
          </w:p>
        </w:tc>
        <w:tc>
          <w:tcPr>
            <w:tcW w:w="61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实际发生额与预计金额差异（%）</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披露日期及索引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向关联人采购燃料和动力</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向关联人采购产品、商品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1,302.13</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6,551.11</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0.33%</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19.88%</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1,302.13</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6,551.11</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接受关联人提供的劳务</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接受关联人提供的劳务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3,062.08</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4,815.90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52.81%</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63.58%</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接受关联人提供的劳务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1,623.23</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1,707.00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28.00%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95.09%</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4,685.31</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6,522.90</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向关联人销售产品、商品</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向关联人销售产品、商品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349.04</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2,691.40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12.97%</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7"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中广核新能源投资（深圳）有限公司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向关联人销售产品、商品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4,982.74</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13,470.00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0.87%</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36.99%</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向关联人销售产品、商品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25.43</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10.5</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242.19%</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5,357.21</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16,171.90</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向关联人提供劳务</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中广核核技术应用有限公司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向关联人提供劳务、托管费</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974.59</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1,250.00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12.25%</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77.97%</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中国广核集团有限公司及其他下属子公司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向关联人提供劳务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586.99</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2,302.21</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7.38%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25.50%</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1,561.58</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3,552.21</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restar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其他</w:t>
            </w:r>
          </w:p>
        </w:tc>
        <w:tc>
          <w:tcPr>
            <w:tcW w:w="768" w:type="pct"/>
            <w:shd w:val="clear" w:color="000000" w:fill="FFFFFF"/>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中广核核技术应用有限公司/中国广核集团有限公司下属子公司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提供租赁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1.27</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2.37</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0.21%</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53.59%</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提供租赁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167.3</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28.15%</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836.50%</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eastAsia="zh-CN"/>
              </w:rPr>
              <w:t>接受租赁、</w:t>
            </w:r>
            <w:r>
              <w:rPr>
                <w:rFonts w:hint="default" w:ascii="Times New Roman" w:hAnsi="Times New Roman" w:cs="Times New Roman" w:eastAsiaTheme="minorEastAsia"/>
                <w:spacing w:val="-4"/>
                <w:sz w:val="18"/>
                <w:szCs w:val="18"/>
                <w:lang w:val="en-US" w:eastAsia="zh-CN"/>
              </w:rPr>
              <w:t>物业服务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577.69</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865.00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5.34%</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66.78%</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中国大连国际经济技术合作集团有限公司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接受租赁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268.3</w:t>
            </w:r>
          </w:p>
        </w:tc>
        <w:tc>
          <w:tcPr>
            <w:tcW w:w="591"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6.60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2.48%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4</w:t>
            </w:r>
            <w:r>
              <w:rPr>
                <w:rFonts w:hint="default" w:ascii="Times New Roman" w:hAnsi="Times New Roman" w:cs="Times New Roman"/>
                <w:i w:val="0"/>
                <w:iCs w:val="0"/>
                <w:snapToGrid w:val="0"/>
                <w:color w:val="000000"/>
                <w:kern w:val="0"/>
                <w:sz w:val="18"/>
                <w:szCs w:val="18"/>
                <w:u w:val="none"/>
                <w:lang w:val="en-US" w:eastAsia="zh-CN" w:bidi="ar"/>
              </w:rPr>
              <w:t>,</w:t>
            </w:r>
            <w:r>
              <w:rPr>
                <w:rFonts w:hint="default" w:ascii="Times New Roman" w:hAnsi="Times New Roman" w:eastAsia="宋体" w:cs="Times New Roman"/>
                <w:i w:val="0"/>
                <w:iCs w:val="0"/>
                <w:snapToGrid w:val="0"/>
                <w:color w:val="000000"/>
                <w:kern w:val="0"/>
                <w:sz w:val="18"/>
                <w:szCs w:val="18"/>
                <w:u w:val="none"/>
                <w:lang w:val="en-US" w:eastAsia="zh-CN" w:bidi="ar"/>
              </w:rPr>
              <w:t>065.15%</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c>
          <w:tcPr>
            <w:tcW w:w="592"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1,014.56</w:t>
            </w:r>
          </w:p>
        </w:tc>
        <w:tc>
          <w:tcPr>
            <w:tcW w:w="591"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893.97</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合计</w:t>
            </w:r>
          </w:p>
        </w:tc>
        <w:tc>
          <w:tcPr>
            <w:tcW w:w="592"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13,920.79</w:t>
            </w:r>
          </w:p>
        </w:tc>
        <w:tc>
          <w:tcPr>
            <w:tcW w:w="591"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val="en-US" w:eastAsia="zh-CN"/>
              </w:rPr>
              <w:t>33,692.09</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公司董事会对日常关联交易实际发生情况与预计存在较大差异的说明</w:t>
            </w:r>
          </w:p>
        </w:tc>
        <w:tc>
          <w:tcPr>
            <w:tcW w:w="3073" w:type="pct"/>
            <w:gridSpan w:val="5"/>
            <w:shd w:val="clear" w:color="auto" w:fill="auto"/>
            <w:noWrap/>
            <w:vAlign w:val="center"/>
          </w:tcPr>
          <w:p>
            <w:pPr>
              <w:keepNext w:val="0"/>
              <w:keepLines w:val="0"/>
              <w:widowControl/>
              <w:suppressLineNumbers w:val="0"/>
              <w:spacing w:before="0" w:beforeAutospacing="0" w:after="0" w:afterAutospacing="0"/>
              <w:ind w:left="-12" w:leftChars="-5" w:right="-12" w:rightChars="-5"/>
              <w:jc w:val="both"/>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根据《深圳证券交易所上市公司自律监管指引第7号——交易与关联交易》第二十五条规定，上市公司对日常关联交易进行预计，在适用关于实际执行超出预计金额的规定时，以同一控制下的各个关联人与上市公司实际发生的各类关联交易合计金额与对应的预计总金额进行比较。报告期公司收到中国大连国际经济技术合作集团有限公司以前年度房屋租金127万元。公司与国合集团实际发生的关联交易超出预计金额部分已经过公司总经理审批，因此，2023年报告期内的日常关联交易执行情况未超出审批权限。</w:t>
            </w:r>
          </w:p>
          <w:p>
            <w:pPr>
              <w:keepNext w:val="0"/>
              <w:keepLines w:val="0"/>
              <w:widowControl/>
              <w:suppressLineNumbers w:val="0"/>
              <w:spacing w:before="0" w:beforeAutospacing="0" w:after="0" w:afterAutospacing="0"/>
              <w:ind w:left="-12" w:leftChars="-5" w:right="-12" w:rightChars="-5"/>
              <w:jc w:val="both"/>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sz w:val="18"/>
                <w:szCs w:val="18"/>
                <w:lang w:eastAsia="zh-CN"/>
              </w:rPr>
              <w:t>公司在计划年度关联交易预计前，业务、管理部门基于产销计划、费用预算等对关联交易进行了充分的评估和测算，但因市场与客户要求及公司实际情况变化等影响，公司关联交易预计与实际发生情况存在差异，属于正常的经营行为，对公司日常经营及业绩影响较小。存在差异的原因为：未按计划与关联方发生交易，计划的项目未实施、未发生实际业务、项目推迟或按合同要求未达到支付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公司独立董事对日常关联交易实际发生情况与预计存在较大差异的说明</w:t>
            </w:r>
          </w:p>
        </w:tc>
        <w:tc>
          <w:tcPr>
            <w:tcW w:w="3073" w:type="pct"/>
            <w:gridSpan w:val="5"/>
            <w:shd w:val="clear" w:color="auto" w:fill="auto"/>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sz w:val="18"/>
                <w:szCs w:val="18"/>
                <w:lang w:eastAsia="zh-CN"/>
              </w:rPr>
              <w:t>公司对日常关联交易实际发生情况与预计存在较大差异的说明符合市场和公司的实际情况；已发生日常关联交易均为公司正常经营业务所需的交易，关联交易事项公平、公正，交易价格公允，不影响公司独立性，不存在损害公司及其股东、特别是中小股东的利益的行为。</w:t>
            </w:r>
          </w:p>
        </w:tc>
      </w:tr>
    </w:tbl>
    <w:p>
      <w:pPr>
        <w:pStyle w:val="21"/>
        <w:adjustRightInd w:val="0"/>
        <w:snapToGrid w:val="0"/>
        <w:spacing w:line="360" w:lineRule="auto"/>
        <w:ind w:firstLine="360"/>
        <w:outlineLvl w:val="0"/>
        <w:rPr>
          <w:rFonts w:hint="default" w:ascii="Times New Roman" w:hAnsi="Times New Roman" w:cs="Times New Roman"/>
          <w:sz w:val="18"/>
          <w:szCs w:val="18"/>
        </w:rPr>
      </w:pPr>
      <w:r>
        <w:rPr>
          <w:rFonts w:hint="default" w:ascii="Times New Roman" w:hAnsi="Times New Roman" w:cs="Times New Roman"/>
          <w:sz w:val="18"/>
          <w:szCs w:val="18"/>
        </w:rPr>
        <w:t>注：实际发生额与预计金额差异（%）是指实际发生额/预计金额。</w:t>
      </w:r>
    </w:p>
    <w:p>
      <w:pPr>
        <w:pStyle w:val="21"/>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二、关联人介绍和关联关系</w:t>
      </w:r>
    </w:p>
    <w:p>
      <w:pPr>
        <w:pStyle w:val="21"/>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（一）中国广核集团有限公司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企业名称：中国广核集团有限公司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法定代表人：杨长利</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注册资本：1,487,337万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住所：深圳市福田区深南大道2002号中广核大厦南楼33楼</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从事以核电和其他清洁能源为主的开发、投资建设、经营和管理；组织电力（热力）生产和销售；开展核电技术研发、咨询服务；开展以核电为主的工程承包与咨询服务，核电站在役、退役服务；开展核技术应用、以清洁能源为主的能源资源综合利用、节能环保等相关产业投资建设与经营管理。开展天然铀资源的勘查、境外天然铀资源的开发及相关贸易与服务。开展核废料处置及乏燃料中间贮存、运输、处理等业务。从事与核电开发相关的国内外投融资业务，从事清洁能源产业配套服务及现代综合服务业。</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年末/20</w:t>
      </w:r>
      <w:r>
        <w:rPr>
          <w:rFonts w:hint="default" w:ascii="Times New Roman" w:hAnsi="Times New Roman" w:cs="Times New Roman"/>
          <w:kern w:val="2"/>
          <w:sz w:val="24"/>
          <w:szCs w:val="24"/>
          <w:lang w:val="en-US" w:eastAsia="zh-CN"/>
        </w:rPr>
        <w:t>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年度）：总资产100,085,384.13万元，净资产30,746,788.98万元，</w:t>
      </w:r>
      <w:r>
        <w:rPr>
          <w:rFonts w:hint="default" w:ascii="Times New Roman" w:hAnsi="Times New Roman" w:cs="Times New Roman"/>
          <w:kern w:val="2"/>
          <w:sz w:val="24"/>
          <w:szCs w:val="24"/>
          <w:lang w:val="en-US" w:eastAsia="zh-CN"/>
        </w:rPr>
        <w:t>主营业务</w:t>
      </w:r>
      <w:r>
        <w:rPr>
          <w:rFonts w:hint="default" w:ascii="Times New Roman" w:hAnsi="Times New Roman" w:eastAsia="宋体" w:cs="Times New Roman"/>
          <w:kern w:val="2"/>
          <w:sz w:val="24"/>
          <w:szCs w:val="24"/>
        </w:rPr>
        <w:t>收入14,812,394.53万元，净利润2,205,827.58万元（已经审计）。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中国广核集团有限公司系公司实际控制人，符合《深圳证券交易所股票上市规则》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第一项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中国广核集团有限公司不是失信主体，财务状况和经营情况均处于良好状态，关联交易执行情况良好，具备相应履约能力，不存在履约风险。</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（二）</w:t>
      </w:r>
      <w:r>
        <w:rPr>
          <w:rFonts w:hint="default" w:ascii="Times New Roman" w:hAnsi="Times New Roman" w:eastAsia="宋体" w:cs="Times New Roman"/>
          <w:b/>
          <w:kern w:val="2"/>
          <w:sz w:val="24"/>
          <w:szCs w:val="24"/>
        </w:rPr>
        <w:t>中广核核技术应用有限公司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企业名称：中广核核技术应用有限公司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公司类型：有限责任公司（法人独资）</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法定代表人：李勇</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注册资本：186,890万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住所：北京市海淀区长春桥路11号2号楼4层406</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技术开发、技术咨询、技术服务；技术进出口、贸易进出口、代理进出口；销售仪器仪表；投资管理、资产管理。（企业依法自主选择经营项目，开展经营活动；依法须经批准的项目，经相关部门批准后依批准的内容开展经营活动；不得从事本市产业政策禁止和限制类项目的经营活动）。</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年度）：总资产1,292,051.28万元，净资产</w:t>
      </w:r>
      <w:r>
        <w:rPr>
          <w:rFonts w:hint="default" w:ascii="Times New Roman" w:hAnsi="Times New Roman" w:eastAsia="宋体" w:cs="Times New Roman"/>
          <w:kern w:val="2"/>
          <w:sz w:val="24"/>
          <w:szCs w:val="24"/>
          <w:lang w:val="en-US" w:eastAsia="zh-CN"/>
        </w:rPr>
        <w:t>620,850.61</w:t>
      </w:r>
      <w:r>
        <w:rPr>
          <w:rFonts w:hint="default" w:ascii="Times New Roman" w:hAnsi="Times New Roman" w:eastAsia="宋体" w:cs="Times New Roman"/>
          <w:kern w:val="2"/>
          <w:sz w:val="24"/>
          <w:szCs w:val="24"/>
        </w:rPr>
        <w:t>万元，</w:t>
      </w:r>
      <w:r>
        <w:rPr>
          <w:rFonts w:hint="default" w:ascii="Times New Roman" w:hAnsi="Times New Roman" w:cs="Times New Roman"/>
          <w:kern w:val="2"/>
          <w:sz w:val="24"/>
          <w:szCs w:val="24"/>
          <w:lang w:val="en-US" w:eastAsia="zh-CN"/>
        </w:rPr>
        <w:t>主</w:t>
      </w:r>
      <w:r>
        <w:rPr>
          <w:rFonts w:hint="default" w:ascii="Times New Roman" w:hAnsi="Times New Roman" w:eastAsia="宋体" w:cs="Times New Roman"/>
          <w:kern w:val="2"/>
          <w:sz w:val="24"/>
          <w:szCs w:val="24"/>
        </w:rPr>
        <w:t>营业</w:t>
      </w:r>
      <w:r>
        <w:rPr>
          <w:rFonts w:hint="default" w:ascii="Times New Roman" w:hAnsi="Times New Roman" w:cs="Times New Roman"/>
          <w:kern w:val="2"/>
          <w:sz w:val="24"/>
          <w:szCs w:val="24"/>
          <w:lang w:val="en-US" w:eastAsia="zh-CN"/>
        </w:rPr>
        <w:t>务</w:t>
      </w:r>
      <w:r>
        <w:rPr>
          <w:rFonts w:hint="default" w:ascii="Times New Roman" w:hAnsi="Times New Roman" w:eastAsia="宋体" w:cs="Times New Roman"/>
          <w:kern w:val="2"/>
          <w:sz w:val="24"/>
          <w:szCs w:val="24"/>
        </w:rPr>
        <w:t>收入</w:t>
      </w:r>
      <w:r>
        <w:rPr>
          <w:rFonts w:hint="default" w:ascii="Times New Roman" w:hAnsi="Times New Roman" w:eastAsia="宋体" w:cs="Times New Roman"/>
          <w:kern w:val="2"/>
          <w:sz w:val="24"/>
          <w:szCs w:val="24"/>
          <w:lang w:val="en-US" w:eastAsia="zh-CN"/>
        </w:rPr>
        <w:t>683,308.96</w:t>
      </w:r>
      <w:r>
        <w:rPr>
          <w:rFonts w:hint="default" w:ascii="Times New Roman" w:hAnsi="Times New Roman" w:eastAsia="宋体" w:cs="Times New Roman"/>
          <w:kern w:val="2"/>
          <w:sz w:val="24"/>
          <w:szCs w:val="24"/>
        </w:rPr>
        <w:t>万元，净利润-86,938.98万元（</w:t>
      </w:r>
      <w:r>
        <w:rPr>
          <w:rFonts w:hint="default" w:ascii="Times New Roman" w:hAnsi="Times New Roman" w:eastAsia="宋体" w:cs="Times New Roman"/>
          <w:kern w:val="2"/>
          <w:sz w:val="24"/>
          <w:szCs w:val="24"/>
          <w:lang w:val="en-US" w:eastAsia="zh-CN"/>
        </w:rPr>
        <w:t>已</w:t>
      </w:r>
      <w:r>
        <w:rPr>
          <w:rFonts w:hint="default" w:ascii="Times New Roman" w:hAnsi="Times New Roman" w:eastAsia="宋体" w:cs="Times New Roman"/>
          <w:kern w:val="2"/>
          <w:sz w:val="24"/>
          <w:szCs w:val="24"/>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中广核核技术应用有限公司系公司控股股东，符合《深圳证券交易所股票上市规则》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第一项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中广核核技术应用有限公司不是失信主体，财务状况和经营情况均处于良好状态，关联交易执行情况良好，具备相应履约能力，不存在履约风险。</w:t>
      </w:r>
    </w:p>
    <w:p>
      <w:pPr>
        <w:pStyle w:val="21"/>
        <w:adjustRightInd w:val="0"/>
        <w:snapToGrid w:val="0"/>
        <w:spacing w:line="360" w:lineRule="auto"/>
        <w:ind w:firstLine="482"/>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eastAsia" w:cs="Times New Roman"/>
          <w:b/>
          <w:sz w:val="24"/>
          <w:szCs w:val="24"/>
          <w:lang w:val="en-US" w:eastAsia="zh-CN"/>
        </w:rPr>
        <w:t>三</w:t>
      </w:r>
      <w:r>
        <w:rPr>
          <w:rFonts w:hint="default" w:ascii="Times New Roman" w:hAnsi="Times New Roman" w:eastAsia="宋体" w:cs="Times New Roman"/>
          <w:b/>
          <w:sz w:val="24"/>
          <w:szCs w:val="24"/>
        </w:rPr>
        <w:t>）中国大连国际经济技术合作集团有限公司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企业名称：中国大连国际经济技术合作集团有限公司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公司类型：其他有限责任公司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法定代表人：朱明义</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注册资本：40,262万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住所：辽宁省大连市西岗区黄河路219号</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许可项目：房屋建筑和市政基础设施项目工程总承包，各类工程建设活动，对外劳务合作，海员外派业务，劳务派遣服务，货物进出口，进出口代理，危险化学品经营，成品油批发（限危险化学品），原油批发（依法须经批准的项目，经相关部门批准后方可开展经营活动，具体经营项目以审批结果为准）一般项目：对外承包工程，土石方工程施工，工程管理服务，建筑工程机械与设备租赁，从事国际集装箱船、普通货船运输，国际货物运输代理，运输设备租赁服务，国际船舶管理业务，汽车新车销售，汽车零配件批发，新能源汽车整车销售，机械设备销售，电气机械设备销售，电子专用设备销售，信息安全设备销售，管道运输设备销售，电子元器件与机电组件设备销售，制冷、空调设备销售，数控机床销售，光通信设备销售，环境监测专用仪器仪表销售，环境保护专用设备销售，特种设备销售，建筑材料销售，五金产品批发，针纺织品及原料销售，服装服饰批发，日用百货销售，石油制品销售（不含危险化学品），化工产品销售（不含许可类化工产品），合成材料销售，肥料销售，成品油批发（不含危险化学品），润滑油销售，金属矿石销售，煤炭及制品销售，医护人员防护用品批发，第一类医疗器械销售，劳动保护用品销售，水产品批发，农副产品销售，食用农产品批发，饲料原料销售，销售代理，技术服务、技术开发、技术咨询、技术交流、技术转让、技术推广，信息咨询服务（不含许可类信息咨询服务），住房租赁，非居住房地产租赁，物业管理（除依法须经批准的项目外，凭营业执照依法自主开展经营活动）。</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3</w:t>
      </w:r>
      <w:r>
        <w:rPr>
          <w:rFonts w:hint="default" w:ascii="Times New Roman" w:hAnsi="Times New Roman" w:eastAsia="宋体" w:cs="Times New Roman"/>
          <w:kern w:val="2"/>
          <w:sz w:val="24"/>
          <w:szCs w:val="24"/>
        </w:rPr>
        <w:t>年度）：总资产</w:t>
      </w:r>
      <w:r>
        <w:rPr>
          <w:rFonts w:hint="default" w:ascii="Times New Roman" w:hAnsi="Times New Roman" w:eastAsia="宋体" w:cs="Times New Roman"/>
          <w:kern w:val="2"/>
          <w:sz w:val="24"/>
          <w:szCs w:val="24"/>
          <w:lang w:val="en-US" w:eastAsia="zh-CN"/>
        </w:rPr>
        <w:t>406,167</w:t>
      </w:r>
      <w:r>
        <w:rPr>
          <w:rFonts w:hint="default" w:ascii="Times New Roman" w:hAnsi="Times New Roman" w:eastAsia="宋体" w:cs="Times New Roman"/>
          <w:kern w:val="2"/>
          <w:sz w:val="24"/>
          <w:szCs w:val="24"/>
        </w:rPr>
        <w:t>万元，净资产</w:t>
      </w:r>
      <w:r>
        <w:rPr>
          <w:rFonts w:hint="default" w:ascii="Times New Roman" w:hAnsi="Times New Roman" w:eastAsia="宋体" w:cs="Times New Roman"/>
          <w:kern w:val="2"/>
          <w:sz w:val="24"/>
          <w:szCs w:val="24"/>
          <w:lang w:val="en-US" w:eastAsia="zh-CN"/>
        </w:rPr>
        <w:t>9,362</w:t>
      </w:r>
      <w:r>
        <w:rPr>
          <w:rFonts w:hint="default" w:ascii="Times New Roman" w:hAnsi="Times New Roman" w:eastAsia="宋体" w:cs="Times New Roman"/>
          <w:kern w:val="2"/>
          <w:sz w:val="24"/>
          <w:szCs w:val="24"/>
        </w:rPr>
        <w:t>万元，</w:t>
      </w:r>
      <w:r>
        <w:rPr>
          <w:rFonts w:hint="default" w:ascii="Times New Roman" w:hAnsi="Times New Roman" w:cs="Times New Roman"/>
          <w:kern w:val="2"/>
          <w:sz w:val="24"/>
          <w:szCs w:val="24"/>
          <w:lang w:val="en-US" w:eastAsia="zh-CN"/>
        </w:rPr>
        <w:t>主营业务收入</w:t>
      </w:r>
      <w:r>
        <w:rPr>
          <w:rFonts w:hint="default" w:ascii="Times New Roman" w:hAnsi="Times New Roman" w:eastAsia="宋体" w:cs="Times New Roman"/>
          <w:kern w:val="2"/>
          <w:sz w:val="24"/>
          <w:szCs w:val="24"/>
          <w:lang w:val="en-US" w:eastAsia="zh-CN"/>
        </w:rPr>
        <w:t>92,752</w:t>
      </w:r>
      <w:r>
        <w:rPr>
          <w:rFonts w:hint="default" w:ascii="Times New Roman" w:hAnsi="Times New Roman" w:eastAsia="宋体" w:cs="Times New Roman"/>
          <w:kern w:val="2"/>
          <w:sz w:val="24"/>
          <w:szCs w:val="24"/>
        </w:rPr>
        <w:t>万元，净利润</w:t>
      </w:r>
      <w:r>
        <w:rPr>
          <w:rFonts w:hint="default" w:ascii="Times New Roman" w:hAnsi="Times New Roman" w:eastAsia="宋体" w:cs="Times New Roman"/>
          <w:kern w:val="2"/>
          <w:sz w:val="24"/>
          <w:szCs w:val="24"/>
          <w:lang w:val="en-US" w:eastAsia="zh-CN"/>
        </w:rPr>
        <w:t>-4,681</w:t>
      </w:r>
      <w:r>
        <w:rPr>
          <w:rFonts w:hint="default" w:ascii="Times New Roman" w:hAnsi="Times New Roman" w:eastAsia="宋体" w:cs="Times New Roman"/>
          <w:kern w:val="2"/>
          <w:sz w:val="24"/>
          <w:szCs w:val="24"/>
        </w:rPr>
        <w:t>万元</w:t>
      </w:r>
      <w:r>
        <w:rPr>
          <w:rFonts w:hint="default" w:ascii="Times New Roman" w:hAnsi="Times New Roman" w:eastAsia="宋体" w:cs="Times New Roman"/>
          <w:kern w:val="2"/>
          <w:sz w:val="24"/>
          <w:szCs w:val="24"/>
          <w:highlight w:val="none"/>
        </w:rPr>
        <w:t>（已经审计）</w:t>
      </w:r>
      <w:r>
        <w:rPr>
          <w:rFonts w:hint="default" w:ascii="Times New Roman" w:hAnsi="Times New Roman" w:eastAsia="宋体" w:cs="Times New Roman"/>
          <w:kern w:val="2"/>
          <w:sz w:val="24"/>
          <w:szCs w:val="24"/>
        </w:rPr>
        <w:t>。</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中国大连国际经济技术合作集团有限公司系持有公司5%以上股份的法人，符合《深圳证券交易所股票上市规则》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第三项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eastAsia="宋体" w:cs="Times New Roman"/>
          <w:kern w:val="2"/>
          <w:sz w:val="24"/>
          <w:szCs w:val="24"/>
        </w:rPr>
        <w:t>中国大连国际经济技术合作集团有限公司不是失信主体，本次主要为公司接受其提供的劳务</w:t>
      </w:r>
      <w:r>
        <w:rPr>
          <w:rFonts w:hint="eastAsia" w:ascii="Times New Roman" w:hAnsi="Times New Roman" w:cs="Times New Roman"/>
          <w:kern w:val="2"/>
          <w:sz w:val="24"/>
          <w:szCs w:val="24"/>
          <w:lang w:val="en-US" w:eastAsia="zh-CN"/>
        </w:rPr>
        <w:t>或接受租赁、物业服务</w:t>
      </w:r>
      <w:r>
        <w:rPr>
          <w:rFonts w:hint="default" w:ascii="Times New Roman" w:hAnsi="Times New Roman" w:eastAsia="宋体" w:cs="Times New Roman"/>
          <w:kern w:val="2"/>
          <w:sz w:val="24"/>
          <w:szCs w:val="24"/>
        </w:rPr>
        <w:t>，履约风险</w:t>
      </w:r>
      <w:r>
        <w:rPr>
          <w:rFonts w:hint="eastAsia" w:ascii="Times New Roman" w:hAnsi="Times New Roman" w:cs="Times New Roman"/>
          <w:kern w:val="2"/>
          <w:sz w:val="24"/>
          <w:szCs w:val="24"/>
          <w:lang w:val="en-US" w:eastAsia="zh-CN"/>
        </w:rPr>
        <w:t>较低</w:t>
      </w:r>
      <w:r>
        <w:rPr>
          <w:rFonts w:hint="default" w:ascii="Times New Roman" w:hAnsi="Times New Roman" w:eastAsia="宋体" w:cs="Times New Roman"/>
          <w:kern w:val="2"/>
          <w:sz w:val="24"/>
          <w:szCs w:val="24"/>
        </w:rPr>
        <w:t>。</w:t>
      </w:r>
    </w:p>
    <w:p>
      <w:pPr>
        <w:pStyle w:val="21"/>
        <w:adjustRightInd w:val="0"/>
        <w:snapToGrid w:val="0"/>
        <w:spacing w:line="360" w:lineRule="auto"/>
        <w:ind w:firstLine="482"/>
        <w:outlineLvl w:val="0"/>
        <w:rPr>
          <w:rFonts w:hint="default" w:ascii="Times New Roman" w:hAnsi="Times New Roman" w:eastAsia="宋体" w:cs="Times New Roman"/>
          <w:b/>
          <w:sz w:val="24"/>
          <w:lang w:val="en-US" w:eastAsia="zh-CN"/>
        </w:rPr>
      </w:pPr>
      <w:r>
        <w:rPr>
          <w:rFonts w:hint="default" w:ascii="Times New Roman" w:hAnsi="Times New Roman" w:cs="Times New Roman"/>
          <w:b/>
          <w:sz w:val="24"/>
        </w:rPr>
        <w:t>三、关联交易定价原则和定价依据</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 xml:space="preserve">公司与以上关联人之间发生的日常关联交易，均遵循公平、公开、公正的市场原则进行，定价遵循公平合理的原则。 </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公司同关联方之间的关联交易价格，有国家定价的，参照国家定价；无国家定价的，参照市场价格；既无国家定价又无市场价格的，参照不高于向任何第三方提供购销相同产品和服务的价格；执行市场价格时，双方随时根据市场价格变化情况对关联交易价格进行相应调整。</w:t>
      </w:r>
    </w:p>
    <w:p>
      <w:pPr>
        <w:pStyle w:val="21"/>
        <w:adjustRightInd w:val="0"/>
        <w:snapToGrid w:val="0"/>
        <w:spacing w:line="360" w:lineRule="auto"/>
        <w:ind w:firstLine="482"/>
        <w:outlineLvl w:val="0"/>
        <w:rPr>
          <w:rFonts w:hint="default" w:ascii="Times New Roman" w:hAnsi="Times New Roman" w:cs="Times New Roman"/>
          <w:b/>
        </w:rPr>
      </w:pPr>
      <w:r>
        <w:rPr>
          <w:rFonts w:hint="default" w:ascii="Times New Roman" w:hAnsi="Times New Roman" w:cs="Times New Roman"/>
          <w:b/>
          <w:sz w:val="24"/>
        </w:rPr>
        <w:t>四、关联交易目的和对公司的影响</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 xml:space="preserve">（一）公司与关联人之间发生的日常关联交易是为了满足本公司正常经营的实际需要而预计发生的，与上述关联方开展公平、互惠的合作，能够合理配置和利用资源，降低成本、提高效率。 </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（二）公司与关联方之间的交易遵循了市场经济规律，上述日常关联交易具有非排他性，并且交易采用的原则是平等自愿、互惠互利，维护了交易双方的利益，亦没有损害中小股东的利益，交易价格公允合理。</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（三）交易双方可随时根据自身需要及市场价格，决定是否进行交易，因此上述日常关联交易对公司独立性不构成影响，公司主要业务不因此类交易而对关联人形成依赖。</w:t>
      </w:r>
    </w:p>
    <w:p>
      <w:pPr>
        <w:pStyle w:val="21"/>
        <w:adjustRightInd w:val="0"/>
        <w:snapToGrid w:val="0"/>
        <w:spacing w:line="360" w:lineRule="auto"/>
        <w:ind w:firstLine="482"/>
        <w:outlineLvl w:val="0"/>
        <w:rPr>
          <w:rFonts w:hint="default" w:ascii="Times New Roman" w:hAnsi="Times New Roman" w:cs="Times New Roman"/>
          <w:b/>
          <w:lang w:val="en-US"/>
        </w:rPr>
      </w:pPr>
      <w:r>
        <w:rPr>
          <w:rFonts w:hint="default" w:ascii="Times New Roman" w:hAnsi="Times New Roman" w:cs="Times New Roman"/>
          <w:b/>
          <w:sz w:val="24"/>
        </w:rPr>
        <w:t>五、</w:t>
      </w:r>
      <w:r>
        <w:rPr>
          <w:rFonts w:hint="eastAsia" w:cs="Times New Roman"/>
          <w:b/>
          <w:sz w:val="24"/>
          <w:lang w:val="en-US" w:eastAsia="zh-CN"/>
        </w:rPr>
        <w:t>独立董事专门会议审议情况</w:t>
      </w:r>
    </w:p>
    <w:p>
      <w:pPr>
        <w:widowControl w:val="0"/>
        <w:autoSpaceDE w:val="0"/>
        <w:autoSpaceDN w:val="0"/>
        <w:adjustRightInd w:val="0"/>
        <w:snapToGrid w:val="0"/>
        <w:spacing w:line="360" w:lineRule="auto"/>
        <w:ind w:firstLine="480" w:firstLineChars="200"/>
        <w:contextualSpacing/>
        <w:jc w:val="both"/>
        <w:rPr>
          <w:rFonts w:hint="default" w:ascii="Times New Roman" w:hAnsi="Times New Roman" w:eastAsia="宋体" w:cs="Times New Roman"/>
        </w:rPr>
      </w:pPr>
      <w:r>
        <w:rPr>
          <w:rFonts w:hint="eastAsia" w:ascii="Times New Roman" w:hAnsi="Times New Roman" w:cs="Times New Roman"/>
          <w:lang w:val="en-US" w:eastAsia="zh-CN"/>
        </w:rPr>
        <w:t>该议案于</w:t>
      </w:r>
      <w:r>
        <w:rPr>
          <w:rFonts w:hint="default" w:ascii="Times New Roman" w:hAnsi="Times New Roman" w:cs="Times New Roman"/>
        </w:rPr>
        <w:t>2024年4月12日</w:t>
      </w:r>
      <w:r>
        <w:rPr>
          <w:rFonts w:hint="eastAsia" w:ascii="Times New Roman" w:hAnsi="Times New Roman" w:cs="Times New Roman"/>
          <w:lang w:val="en-US" w:eastAsia="zh-CN"/>
        </w:rPr>
        <w:t>经过</w:t>
      </w:r>
      <w:r>
        <w:rPr>
          <w:rFonts w:hint="default" w:ascii="Times New Roman" w:hAnsi="Times New Roman" w:cs="Times New Roman"/>
        </w:rPr>
        <w:t>独立董事专门会议2024年第二次会议审议</w:t>
      </w:r>
      <w:r>
        <w:rPr>
          <w:rFonts w:hint="eastAsia" w:ascii="Times New Roman" w:hAnsi="Times New Roman" w:cs="Times New Roman"/>
          <w:lang w:eastAsia="zh-CN"/>
        </w:rPr>
        <w:t>，</w:t>
      </w:r>
      <w:r>
        <w:rPr>
          <w:rFonts w:hint="default" w:ascii="Times New Roman" w:hAnsi="Times New Roman" w:eastAsia="宋体" w:cs="Times New Roman"/>
        </w:rPr>
        <w:t>认为公司2024年预计的日常经营关联交易属于公司的正常业务发展需要，以市场价格作为定价依据，定价原则公平合理，相关交易有利于公司业务的开展和持续发展，未对公司独立性构成不利影响，不存在损害公司及非关联股东利益的情形。</w:t>
      </w:r>
      <w:r>
        <w:rPr>
          <w:rFonts w:hint="eastAsia" w:ascii="Times New Roman" w:hAnsi="Times New Roman" w:eastAsia="宋体" w:cs="Times New Roman"/>
          <w:lang w:val="en-US" w:eastAsia="zh-CN"/>
        </w:rPr>
        <w:t>公司</w:t>
      </w:r>
      <w:r>
        <w:rPr>
          <w:rFonts w:hint="default" w:ascii="Times New Roman" w:hAnsi="Times New Roman" w:eastAsia="宋体" w:cs="Times New Roman"/>
        </w:rPr>
        <w:t>对日常关联交易实际发生情况与预计存在较大差异的说明符合市场和公司的实际情况；已发生日常关联交易均为公司正常经营业务所需的交易，关联交易事项公平、公正，交易价格公允，不影响公司独立性，不存在损害公司及其股东、特别是中小股东的利益的行为。</w:t>
      </w:r>
      <w:bookmarkStart w:id="0" w:name="_GoBack"/>
      <w:bookmarkEnd w:id="0"/>
    </w:p>
    <w:p>
      <w:pPr>
        <w:pStyle w:val="21"/>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六、备查文件</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1、第</w:t>
      </w:r>
      <w:r>
        <w:rPr>
          <w:rFonts w:hint="default" w:ascii="Times New Roman" w:hAnsi="Times New Roman" w:cs="Times New Roman"/>
          <w:kern w:val="2"/>
          <w:szCs w:val="20"/>
          <w:lang w:val="en-US" w:eastAsia="zh-CN"/>
        </w:rPr>
        <w:t>十</w:t>
      </w:r>
      <w:r>
        <w:rPr>
          <w:rFonts w:hint="default" w:ascii="Times New Roman" w:hAnsi="Times New Roman" w:cs="Times New Roman"/>
          <w:kern w:val="2"/>
          <w:szCs w:val="20"/>
        </w:rPr>
        <w:t>届董事会第</w:t>
      </w:r>
      <w:r>
        <w:rPr>
          <w:rFonts w:hint="eastAsia" w:ascii="Times New Roman" w:hAnsi="Times New Roman" w:cs="Times New Roman"/>
          <w:kern w:val="2"/>
          <w:szCs w:val="20"/>
          <w:lang w:val="en-US" w:eastAsia="zh-CN"/>
        </w:rPr>
        <w:t>十五</w:t>
      </w:r>
      <w:r>
        <w:rPr>
          <w:rFonts w:hint="default" w:ascii="Times New Roman" w:hAnsi="Times New Roman" w:cs="Times New Roman"/>
          <w:kern w:val="2"/>
          <w:szCs w:val="20"/>
        </w:rPr>
        <w:t>次会议决议；</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lang w:val="en-US" w:eastAsia="zh-CN"/>
        </w:rPr>
        <w:t>2、</w:t>
      </w:r>
      <w:r>
        <w:rPr>
          <w:rFonts w:hint="default" w:ascii="Times New Roman" w:hAnsi="Times New Roman" w:cs="Times New Roman"/>
        </w:rPr>
        <w:t>独立董事专门会议2024年第二次会议</w:t>
      </w:r>
      <w:r>
        <w:rPr>
          <w:rFonts w:hint="eastAsia" w:ascii="Times New Roman" w:hAnsi="Times New Roman" w:cs="Times New Roman"/>
          <w:lang w:val="en-US" w:eastAsia="zh-CN"/>
        </w:rPr>
        <w:t>决议</w:t>
      </w:r>
      <w:r>
        <w:rPr>
          <w:rFonts w:hint="default" w:ascii="Times New Roman" w:hAnsi="Times New Roman" w:cs="Times New Roman"/>
          <w:kern w:val="2"/>
          <w:szCs w:val="20"/>
        </w:rPr>
        <w:t>。</w:t>
      </w:r>
    </w:p>
    <w:p>
      <w:pPr>
        <w:widowControl w:val="0"/>
        <w:adjustRightInd w:val="0"/>
        <w:snapToGrid w:val="0"/>
        <w:spacing w:line="360" w:lineRule="auto"/>
        <w:ind w:firstLine="480" w:firstLineChars="200"/>
        <w:jc w:val="both"/>
        <w:rPr>
          <w:rFonts w:hint="default" w:ascii="Times New Roman" w:hAnsi="Times New Roman" w:cs="Times New Roman"/>
          <w:szCs w:val="20"/>
        </w:rPr>
      </w:pPr>
      <w:r>
        <w:rPr>
          <w:rFonts w:hint="default" w:ascii="Times New Roman" w:hAnsi="Times New Roman" w:cs="Times New Roman"/>
          <w:szCs w:val="20"/>
        </w:rPr>
        <w:t>特此公告。</w:t>
      </w: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left="480"/>
        <w:jc w:val="right"/>
        <w:rPr>
          <w:rFonts w:hint="default" w:ascii="Times New Roman" w:hAnsi="Times New Roman" w:cs="Times New Roman"/>
          <w:b/>
          <w:kern w:val="2"/>
          <w:szCs w:val="20"/>
        </w:rPr>
      </w:pPr>
      <w:r>
        <w:rPr>
          <w:rFonts w:hint="default" w:ascii="Times New Roman" w:hAnsi="Times New Roman" w:cs="Times New Roman"/>
          <w:b/>
          <w:kern w:val="2"/>
          <w:szCs w:val="20"/>
        </w:rPr>
        <w:t>中广核核技术发展股份有限公司</w:t>
      </w:r>
    </w:p>
    <w:p>
      <w:pPr>
        <w:widowControl w:val="0"/>
        <w:adjustRightInd w:val="0"/>
        <w:snapToGrid w:val="0"/>
        <w:spacing w:line="360" w:lineRule="auto"/>
        <w:ind w:left="480"/>
        <w:jc w:val="right"/>
        <w:rPr>
          <w:rFonts w:hint="default" w:ascii="Times New Roman" w:hAnsi="Times New Roman" w:cs="Times New Roman"/>
          <w:b/>
          <w:kern w:val="2"/>
          <w:szCs w:val="20"/>
        </w:rPr>
      </w:pPr>
      <w:r>
        <w:rPr>
          <w:rFonts w:hint="default" w:ascii="Times New Roman" w:hAnsi="Times New Roman" w:cs="Times New Roman"/>
          <w:b/>
          <w:kern w:val="2"/>
          <w:szCs w:val="20"/>
        </w:rPr>
        <w:t>董事会</w:t>
      </w:r>
    </w:p>
    <w:p>
      <w:pPr>
        <w:widowControl w:val="0"/>
        <w:adjustRightInd w:val="0"/>
        <w:snapToGrid w:val="0"/>
        <w:spacing w:line="360" w:lineRule="auto"/>
        <w:ind w:left="480" w:firstLine="482"/>
        <w:jc w:val="right"/>
        <w:rPr>
          <w:rFonts w:hint="default" w:ascii="Times New Roman" w:hAnsi="Times New Roman" w:cs="Times New Roman"/>
        </w:rPr>
      </w:pPr>
      <w:r>
        <w:rPr>
          <w:rFonts w:hint="default" w:ascii="Times New Roman" w:hAnsi="Times New Roman" w:cs="Times New Roman"/>
          <w:b/>
          <w:kern w:val="2"/>
          <w:szCs w:val="20"/>
        </w:rPr>
        <w:t>202</w:t>
      </w:r>
      <w:r>
        <w:rPr>
          <w:rFonts w:hint="eastAsia" w:ascii="Times New Roman" w:hAnsi="Times New Roman" w:cs="Times New Roman"/>
          <w:b/>
          <w:kern w:val="2"/>
          <w:szCs w:val="20"/>
          <w:lang w:val="en-US" w:eastAsia="zh-CN"/>
        </w:rPr>
        <w:t>4</w:t>
      </w:r>
      <w:r>
        <w:rPr>
          <w:rFonts w:hint="default" w:ascii="Times New Roman" w:hAnsi="Times New Roman" w:cs="Times New Roman"/>
          <w:b/>
          <w:kern w:val="2"/>
          <w:szCs w:val="20"/>
        </w:rPr>
        <w:t>年4月</w:t>
      </w:r>
      <w:r>
        <w:rPr>
          <w:rFonts w:hint="default" w:ascii="Times New Roman" w:hAnsi="Times New Roman" w:cs="Times New Roman"/>
          <w:b/>
          <w:kern w:val="2"/>
          <w:szCs w:val="20"/>
          <w:lang w:val="en-US" w:eastAsia="zh-CN"/>
        </w:rPr>
        <w:t>27</w:t>
      </w:r>
      <w:r>
        <w:rPr>
          <w:rFonts w:hint="default" w:ascii="Times New Roman" w:hAnsi="Times New Roman" w:cs="Times New Roman"/>
          <w:b/>
          <w:kern w:val="2"/>
          <w:szCs w:val="20"/>
        </w:rPr>
        <w:t>日</w:t>
      </w:r>
    </w:p>
    <w:sectPr>
      <w:pgSz w:w="11906" w:h="16838"/>
      <w:pgMar w:top="1588" w:right="1588" w:bottom="1588"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F"/>
    <w:rsid w:val="00001C54"/>
    <w:rsid w:val="00014662"/>
    <w:rsid w:val="000308B3"/>
    <w:rsid w:val="00046C5F"/>
    <w:rsid w:val="000549A3"/>
    <w:rsid w:val="000550A0"/>
    <w:rsid w:val="00062B5B"/>
    <w:rsid w:val="00065A9F"/>
    <w:rsid w:val="00067F26"/>
    <w:rsid w:val="000701FD"/>
    <w:rsid w:val="00070261"/>
    <w:rsid w:val="00070D12"/>
    <w:rsid w:val="0007700B"/>
    <w:rsid w:val="0007703F"/>
    <w:rsid w:val="000770C9"/>
    <w:rsid w:val="00081E24"/>
    <w:rsid w:val="00082519"/>
    <w:rsid w:val="000846A5"/>
    <w:rsid w:val="00085A62"/>
    <w:rsid w:val="000867FD"/>
    <w:rsid w:val="00087AE1"/>
    <w:rsid w:val="00092654"/>
    <w:rsid w:val="0009419A"/>
    <w:rsid w:val="00096C23"/>
    <w:rsid w:val="000A1ABC"/>
    <w:rsid w:val="000A200B"/>
    <w:rsid w:val="000A67F3"/>
    <w:rsid w:val="000A7D4F"/>
    <w:rsid w:val="000B00E5"/>
    <w:rsid w:val="000B0B6A"/>
    <w:rsid w:val="000B0FDB"/>
    <w:rsid w:val="000B1043"/>
    <w:rsid w:val="000B3FF9"/>
    <w:rsid w:val="000B425B"/>
    <w:rsid w:val="000B6483"/>
    <w:rsid w:val="000C00F9"/>
    <w:rsid w:val="000C1187"/>
    <w:rsid w:val="000C13F6"/>
    <w:rsid w:val="000C17F0"/>
    <w:rsid w:val="000C3232"/>
    <w:rsid w:val="000C614A"/>
    <w:rsid w:val="000C6C5E"/>
    <w:rsid w:val="000C7CE1"/>
    <w:rsid w:val="000D405F"/>
    <w:rsid w:val="000D58FC"/>
    <w:rsid w:val="000D67C6"/>
    <w:rsid w:val="000E590A"/>
    <w:rsid w:val="000E5BE1"/>
    <w:rsid w:val="000F0E23"/>
    <w:rsid w:val="000F2C8E"/>
    <w:rsid w:val="000F7462"/>
    <w:rsid w:val="000F7907"/>
    <w:rsid w:val="001009C6"/>
    <w:rsid w:val="00101E29"/>
    <w:rsid w:val="00105056"/>
    <w:rsid w:val="00105570"/>
    <w:rsid w:val="001149DE"/>
    <w:rsid w:val="001231A0"/>
    <w:rsid w:val="001244B2"/>
    <w:rsid w:val="00127BBB"/>
    <w:rsid w:val="00132F78"/>
    <w:rsid w:val="001341AA"/>
    <w:rsid w:val="001347F8"/>
    <w:rsid w:val="001349AD"/>
    <w:rsid w:val="001376E3"/>
    <w:rsid w:val="00137F5D"/>
    <w:rsid w:val="0014294F"/>
    <w:rsid w:val="00143252"/>
    <w:rsid w:val="0014489B"/>
    <w:rsid w:val="00146DCC"/>
    <w:rsid w:val="00152232"/>
    <w:rsid w:val="001620AD"/>
    <w:rsid w:val="001670B0"/>
    <w:rsid w:val="00172487"/>
    <w:rsid w:val="0017306E"/>
    <w:rsid w:val="00174615"/>
    <w:rsid w:val="00177F17"/>
    <w:rsid w:val="00180320"/>
    <w:rsid w:val="00183FA8"/>
    <w:rsid w:val="00184DBA"/>
    <w:rsid w:val="00192FC5"/>
    <w:rsid w:val="00195EB2"/>
    <w:rsid w:val="00197DB8"/>
    <w:rsid w:val="001A0D3A"/>
    <w:rsid w:val="001A26AE"/>
    <w:rsid w:val="001A5237"/>
    <w:rsid w:val="001A7978"/>
    <w:rsid w:val="001B3D41"/>
    <w:rsid w:val="001B66A1"/>
    <w:rsid w:val="001C6DB2"/>
    <w:rsid w:val="001C7E13"/>
    <w:rsid w:val="001C7E37"/>
    <w:rsid w:val="001D4160"/>
    <w:rsid w:val="001D74A1"/>
    <w:rsid w:val="001E64D7"/>
    <w:rsid w:val="001F16AB"/>
    <w:rsid w:val="001F5965"/>
    <w:rsid w:val="001F68F0"/>
    <w:rsid w:val="0020495D"/>
    <w:rsid w:val="00210BFE"/>
    <w:rsid w:val="002137ED"/>
    <w:rsid w:val="00215333"/>
    <w:rsid w:val="002161C4"/>
    <w:rsid w:val="0022340B"/>
    <w:rsid w:val="0022449F"/>
    <w:rsid w:val="00227DDD"/>
    <w:rsid w:val="0023383B"/>
    <w:rsid w:val="00244DBD"/>
    <w:rsid w:val="00244EA8"/>
    <w:rsid w:val="00256AE7"/>
    <w:rsid w:val="00257A8D"/>
    <w:rsid w:val="00263A0F"/>
    <w:rsid w:val="00265107"/>
    <w:rsid w:val="00275BD0"/>
    <w:rsid w:val="00277805"/>
    <w:rsid w:val="00280984"/>
    <w:rsid w:val="00281791"/>
    <w:rsid w:val="00282831"/>
    <w:rsid w:val="00292DC8"/>
    <w:rsid w:val="00296220"/>
    <w:rsid w:val="002A0F12"/>
    <w:rsid w:val="002A633A"/>
    <w:rsid w:val="002B060F"/>
    <w:rsid w:val="002B1407"/>
    <w:rsid w:val="002B2D28"/>
    <w:rsid w:val="002B5F86"/>
    <w:rsid w:val="002C0CB4"/>
    <w:rsid w:val="002D110C"/>
    <w:rsid w:val="002D51C4"/>
    <w:rsid w:val="002D6832"/>
    <w:rsid w:val="002E3406"/>
    <w:rsid w:val="002E343D"/>
    <w:rsid w:val="002E5D2E"/>
    <w:rsid w:val="002E77AB"/>
    <w:rsid w:val="002F1B36"/>
    <w:rsid w:val="002F7CF4"/>
    <w:rsid w:val="00300240"/>
    <w:rsid w:val="00310733"/>
    <w:rsid w:val="00315D0D"/>
    <w:rsid w:val="0032112A"/>
    <w:rsid w:val="00323B43"/>
    <w:rsid w:val="00325820"/>
    <w:rsid w:val="00326A8D"/>
    <w:rsid w:val="00327CD3"/>
    <w:rsid w:val="00331E9D"/>
    <w:rsid w:val="0033374F"/>
    <w:rsid w:val="0033543E"/>
    <w:rsid w:val="00335955"/>
    <w:rsid w:val="00337D1B"/>
    <w:rsid w:val="00340A32"/>
    <w:rsid w:val="00351BB1"/>
    <w:rsid w:val="00355182"/>
    <w:rsid w:val="003607D8"/>
    <w:rsid w:val="0036086C"/>
    <w:rsid w:val="00360FE5"/>
    <w:rsid w:val="00361B67"/>
    <w:rsid w:val="0036496D"/>
    <w:rsid w:val="00373F92"/>
    <w:rsid w:val="003800BD"/>
    <w:rsid w:val="00383DEC"/>
    <w:rsid w:val="003928AD"/>
    <w:rsid w:val="003932C4"/>
    <w:rsid w:val="0039372B"/>
    <w:rsid w:val="0039413E"/>
    <w:rsid w:val="00397255"/>
    <w:rsid w:val="003A0E56"/>
    <w:rsid w:val="003A2435"/>
    <w:rsid w:val="003A24FC"/>
    <w:rsid w:val="003A46B7"/>
    <w:rsid w:val="003A5783"/>
    <w:rsid w:val="003B69F2"/>
    <w:rsid w:val="003B746D"/>
    <w:rsid w:val="003C160E"/>
    <w:rsid w:val="003C2B1E"/>
    <w:rsid w:val="003C5545"/>
    <w:rsid w:val="003D0AD5"/>
    <w:rsid w:val="003D37D8"/>
    <w:rsid w:val="003D7EA6"/>
    <w:rsid w:val="003E637E"/>
    <w:rsid w:val="003E7BF3"/>
    <w:rsid w:val="003F4A58"/>
    <w:rsid w:val="003F6101"/>
    <w:rsid w:val="003F66D9"/>
    <w:rsid w:val="004108EB"/>
    <w:rsid w:val="004133C9"/>
    <w:rsid w:val="004137F2"/>
    <w:rsid w:val="004156EC"/>
    <w:rsid w:val="004176E5"/>
    <w:rsid w:val="00417732"/>
    <w:rsid w:val="00424709"/>
    <w:rsid w:val="00431224"/>
    <w:rsid w:val="00433DA7"/>
    <w:rsid w:val="004351DA"/>
    <w:rsid w:val="004358AB"/>
    <w:rsid w:val="00436010"/>
    <w:rsid w:val="00440ECF"/>
    <w:rsid w:val="00443706"/>
    <w:rsid w:val="0044550B"/>
    <w:rsid w:val="00453AE3"/>
    <w:rsid w:val="004543B0"/>
    <w:rsid w:val="004656F1"/>
    <w:rsid w:val="00466C5D"/>
    <w:rsid w:val="00467F57"/>
    <w:rsid w:val="0047366E"/>
    <w:rsid w:val="00474245"/>
    <w:rsid w:val="004743CB"/>
    <w:rsid w:val="00475534"/>
    <w:rsid w:val="004777EC"/>
    <w:rsid w:val="00477C8D"/>
    <w:rsid w:val="00481E79"/>
    <w:rsid w:val="00485E0D"/>
    <w:rsid w:val="0048713F"/>
    <w:rsid w:val="004872E4"/>
    <w:rsid w:val="00487C53"/>
    <w:rsid w:val="004903F6"/>
    <w:rsid w:val="00491C78"/>
    <w:rsid w:val="004946B9"/>
    <w:rsid w:val="004A02CE"/>
    <w:rsid w:val="004A0329"/>
    <w:rsid w:val="004A6E17"/>
    <w:rsid w:val="004A78A6"/>
    <w:rsid w:val="004B3CB3"/>
    <w:rsid w:val="004C1B7E"/>
    <w:rsid w:val="004C30F3"/>
    <w:rsid w:val="004D2057"/>
    <w:rsid w:val="004D251B"/>
    <w:rsid w:val="004D384C"/>
    <w:rsid w:val="004D4BEC"/>
    <w:rsid w:val="004D5D2F"/>
    <w:rsid w:val="004E4BA6"/>
    <w:rsid w:val="004F10F4"/>
    <w:rsid w:val="00502B83"/>
    <w:rsid w:val="00507794"/>
    <w:rsid w:val="00510D12"/>
    <w:rsid w:val="00517347"/>
    <w:rsid w:val="00524254"/>
    <w:rsid w:val="00524E1F"/>
    <w:rsid w:val="005251E0"/>
    <w:rsid w:val="00534EAA"/>
    <w:rsid w:val="00534F5E"/>
    <w:rsid w:val="0053668B"/>
    <w:rsid w:val="00536A13"/>
    <w:rsid w:val="0054325A"/>
    <w:rsid w:val="00543D4A"/>
    <w:rsid w:val="00553CEC"/>
    <w:rsid w:val="00554C28"/>
    <w:rsid w:val="00557C05"/>
    <w:rsid w:val="00557C7E"/>
    <w:rsid w:val="005619E6"/>
    <w:rsid w:val="00561D35"/>
    <w:rsid w:val="00562E2C"/>
    <w:rsid w:val="005638E7"/>
    <w:rsid w:val="00563C07"/>
    <w:rsid w:val="00564ECA"/>
    <w:rsid w:val="00566C53"/>
    <w:rsid w:val="0057734D"/>
    <w:rsid w:val="00577CCA"/>
    <w:rsid w:val="00581E04"/>
    <w:rsid w:val="0059352F"/>
    <w:rsid w:val="00593BCC"/>
    <w:rsid w:val="005A0298"/>
    <w:rsid w:val="005A2F29"/>
    <w:rsid w:val="005A33E2"/>
    <w:rsid w:val="005A3D96"/>
    <w:rsid w:val="005A5CFF"/>
    <w:rsid w:val="005A6223"/>
    <w:rsid w:val="005A76E1"/>
    <w:rsid w:val="005B1753"/>
    <w:rsid w:val="005B1829"/>
    <w:rsid w:val="005B2EB4"/>
    <w:rsid w:val="005B4484"/>
    <w:rsid w:val="005C024D"/>
    <w:rsid w:val="005C098B"/>
    <w:rsid w:val="005C1049"/>
    <w:rsid w:val="005C1565"/>
    <w:rsid w:val="005C2381"/>
    <w:rsid w:val="005C24F5"/>
    <w:rsid w:val="005C2BD2"/>
    <w:rsid w:val="005C4618"/>
    <w:rsid w:val="005C5674"/>
    <w:rsid w:val="005C6BAB"/>
    <w:rsid w:val="005D0CB3"/>
    <w:rsid w:val="005D2A0E"/>
    <w:rsid w:val="005D5A86"/>
    <w:rsid w:val="005E0142"/>
    <w:rsid w:val="005E0BAB"/>
    <w:rsid w:val="005E1321"/>
    <w:rsid w:val="005E3BBB"/>
    <w:rsid w:val="005F72F3"/>
    <w:rsid w:val="00601760"/>
    <w:rsid w:val="00602B47"/>
    <w:rsid w:val="00605316"/>
    <w:rsid w:val="00607A7E"/>
    <w:rsid w:val="00612A94"/>
    <w:rsid w:val="00615E31"/>
    <w:rsid w:val="00616699"/>
    <w:rsid w:val="00617CCE"/>
    <w:rsid w:val="006217A8"/>
    <w:rsid w:val="00621851"/>
    <w:rsid w:val="0062312F"/>
    <w:rsid w:val="00624324"/>
    <w:rsid w:val="006243A2"/>
    <w:rsid w:val="00627F0D"/>
    <w:rsid w:val="0063234A"/>
    <w:rsid w:val="00635630"/>
    <w:rsid w:val="006427EC"/>
    <w:rsid w:val="00646F2D"/>
    <w:rsid w:val="00647588"/>
    <w:rsid w:val="006507B4"/>
    <w:rsid w:val="00652DF2"/>
    <w:rsid w:val="006537A1"/>
    <w:rsid w:val="006545E7"/>
    <w:rsid w:val="006623BD"/>
    <w:rsid w:val="006624EB"/>
    <w:rsid w:val="00663002"/>
    <w:rsid w:val="00664061"/>
    <w:rsid w:val="006643A1"/>
    <w:rsid w:val="006647BE"/>
    <w:rsid w:val="006652D5"/>
    <w:rsid w:val="0067086D"/>
    <w:rsid w:val="00671584"/>
    <w:rsid w:val="00680531"/>
    <w:rsid w:val="00682E5F"/>
    <w:rsid w:val="00683EA0"/>
    <w:rsid w:val="00683FE3"/>
    <w:rsid w:val="00684DBE"/>
    <w:rsid w:val="00694437"/>
    <w:rsid w:val="00694898"/>
    <w:rsid w:val="006B0113"/>
    <w:rsid w:val="006B3033"/>
    <w:rsid w:val="006B384E"/>
    <w:rsid w:val="006B4766"/>
    <w:rsid w:val="006B6BA4"/>
    <w:rsid w:val="006C5B89"/>
    <w:rsid w:val="006E1E1D"/>
    <w:rsid w:val="006E2202"/>
    <w:rsid w:val="006E2F34"/>
    <w:rsid w:val="006F13B8"/>
    <w:rsid w:val="006F2782"/>
    <w:rsid w:val="006F27C2"/>
    <w:rsid w:val="006F43CC"/>
    <w:rsid w:val="006F683C"/>
    <w:rsid w:val="00706EA3"/>
    <w:rsid w:val="00711288"/>
    <w:rsid w:val="00713048"/>
    <w:rsid w:val="007137D3"/>
    <w:rsid w:val="0071473E"/>
    <w:rsid w:val="00717289"/>
    <w:rsid w:val="0072085F"/>
    <w:rsid w:val="00722F8D"/>
    <w:rsid w:val="007303FF"/>
    <w:rsid w:val="00730F3B"/>
    <w:rsid w:val="007311D7"/>
    <w:rsid w:val="00731AB1"/>
    <w:rsid w:val="00735A5D"/>
    <w:rsid w:val="00740040"/>
    <w:rsid w:val="00740795"/>
    <w:rsid w:val="00740AD2"/>
    <w:rsid w:val="0074284F"/>
    <w:rsid w:val="00742C84"/>
    <w:rsid w:val="00745493"/>
    <w:rsid w:val="007469FA"/>
    <w:rsid w:val="0074799A"/>
    <w:rsid w:val="0075125C"/>
    <w:rsid w:val="007525E0"/>
    <w:rsid w:val="00753A3E"/>
    <w:rsid w:val="00755703"/>
    <w:rsid w:val="00766808"/>
    <w:rsid w:val="00781FB3"/>
    <w:rsid w:val="007844F2"/>
    <w:rsid w:val="00790100"/>
    <w:rsid w:val="00797EB9"/>
    <w:rsid w:val="007A11AB"/>
    <w:rsid w:val="007A236A"/>
    <w:rsid w:val="007A4F8D"/>
    <w:rsid w:val="007A72F4"/>
    <w:rsid w:val="007B145A"/>
    <w:rsid w:val="007C1BAF"/>
    <w:rsid w:val="007C7574"/>
    <w:rsid w:val="007D0FEB"/>
    <w:rsid w:val="007D7772"/>
    <w:rsid w:val="007E080B"/>
    <w:rsid w:val="007E0CE5"/>
    <w:rsid w:val="007E0D69"/>
    <w:rsid w:val="007E1C02"/>
    <w:rsid w:val="007E1F63"/>
    <w:rsid w:val="007E3E4F"/>
    <w:rsid w:val="007E465F"/>
    <w:rsid w:val="007E4DD2"/>
    <w:rsid w:val="007E5316"/>
    <w:rsid w:val="007E5FE3"/>
    <w:rsid w:val="007E7C0B"/>
    <w:rsid w:val="007F2778"/>
    <w:rsid w:val="007F5767"/>
    <w:rsid w:val="007F583E"/>
    <w:rsid w:val="007F59C4"/>
    <w:rsid w:val="0080573F"/>
    <w:rsid w:val="008129D4"/>
    <w:rsid w:val="008133B6"/>
    <w:rsid w:val="00816867"/>
    <w:rsid w:val="008240F3"/>
    <w:rsid w:val="00831F7E"/>
    <w:rsid w:val="00833FF0"/>
    <w:rsid w:val="00836182"/>
    <w:rsid w:val="0083698A"/>
    <w:rsid w:val="0084082C"/>
    <w:rsid w:val="00842202"/>
    <w:rsid w:val="00846498"/>
    <w:rsid w:val="008465F1"/>
    <w:rsid w:val="00846870"/>
    <w:rsid w:val="008511E2"/>
    <w:rsid w:val="00852E2D"/>
    <w:rsid w:val="00860919"/>
    <w:rsid w:val="008620AF"/>
    <w:rsid w:val="008624A4"/>
    <w:rsid w:val="008641D6"/>
    <w:rsid w:val="00864677"/>
    <w:rsid w:val="008652F0"/>
    <w:rsid w:val="00867490"/>
    <w:rsid w:val="00875ACE"/>
    <w:rsid w:val="00876AA3"/>
    <w:rsid w:val="00877386"/>
    <w:rsid w:val="00880740"/>
    <w:rsid w:val="008807AC"/>
    <w:rsid w:val="00884273"/>
    <w:rsid w:val="00886A44"/>
    <w:rsid w:val="00891A35"/>
    <w:rsid w:val="00895049"/>
    <w:rsid w:val="008954DA"/>
    <w:rsid w:val="00896021"/>
    <w:rsid w:val="00896082"/>
    <w:rsid w:val="008A2131"/>
    <w:rsid w:val="008A26F2"/>
    <w:rsid w:val="008A697C"/>
    <w:rsid w:val="008B2BC7"/>
    <w:rsid w:val="008B4C87"/>
    <w:rsid w:val="008B4FBA"/>
    <w:rsid w:val="008B6A68"/>
    <w:rsid w:val="008B7012"/>
    <w:rsid w:val="008B7726"/>
    <w:rsid w:val="008C72BB"/>
    <w:rsid w:val="008D0AA3"/>
    <w:rsid w:val="008D0B7A"/>
    <w:rsid w:val="008E0668"/>
    <w:rsid w:val="008E2F3C"/>
    <w:rsid w:val="008E44F1"/>
    <w:rsid w:val="008E662C"/>
    <w:rsid w:val="008E66DF"/>
    <w:rsid w:val="008E6D9E"/>
    <w:rsid w:val="0090657C"/>
    <w:rsid w:val="00912BB5"/>
    <w:rsid w:val="00913D7B"/>
    <w:rsid w:val="00921ED3"/>
    <w:rsid w:val="00933C2A"/>
    <w:rsid w:val="00937998"/>
    <w:rsid w:val="00941C15"/>
    <w:rsid w:val="009435E6"/>
    <w:rsid w:val="009440C6"/>
    <w:rsid w:val="00947B88"/>
    <w:rsid w:val="00952987"/>
    <w:rsid w:val="00953778"/>
    <w:rsid w:val="00953BAB"/>
    <w:rsid w:val="00964575"/>
    <w:rsid w:val="009651AE"/>
    <w:rsid w:val="00967C62"/>
    <w:rsid w:val="00975381"/>
    <w:rsid w:val="00980BBB"/>
    <w:rsid w:val="009842B5"/>
    <w:rsid w:val="00985C65"/>
    <w:rsid w:val="00990668"/>
    <w:rsid w:val="00990761"/>
    <w:rsid w:val="0099387D"/>
    <w:rsid w:val="00993C6B"/>
    <w:rsid w:val="009B2D38"/>
    <w:rsid w:val="009B68DA"/>
    <w:rsid w:val="009B7E1D"/>
    <w:rsid w:val="009C0879"/>
    <w:rsid w:val="009D29FC"/>
    <w:rsid w:val="009D2B6B"/>
    <w:rsid w:val="009E2000"/>
    <w:rsid w:val="009E5AF5"/>
    <w:rsid w:val="009E62A2"/>
    <w:rsid w:val="009E781A"/>
    <w:rsid w:val="009F0139"/>
    <w:rsid w:val="009F13D4"/>
    <w:rsid w:val="009F1B84"/>
    <w:rsid w:val="009F1F62"/>
    <w:rsid w:val="009F4C4B"/>
    <w:rsid w:val="009F5D72"/>
    <w:rsid w:val="00A0087D"/>
    <w:rsid w:val="00A02DFF"/>
    <w:rsid w:val="00A0496A"/>
    <w:rsid w:val="00A14EB9"/>
    <w:rsid w:val="00A223A4"/>
    <w:rsid w:val="00A2407E"/>
    <w:rsid w:val="00A2460D"/>
    <w:rsid w:val="00A24880"/>
    <w:rsid w:val="00A31959"/>
    <w:rsid w:val="00A348D2"/>
    <w:rsid w:val="00A35E71"/>
    <w:rsid w:val="00A3648D"/>
    <w:rsid w:val="00A36682"/>
    <w:rsid w:val="00A408D7"/>
    <w:rsid w:val="00A4251A"/>
    <w:rsid w:val="00A460D8"/>
    <w:rsid w:val="00A50B89"/>
    <w:rsid w:val="00A52B7A"/>
    <w:rsid w:val="00A65175"/>
    <w:rsid w:val="00A6773A"/>
    <w:rsid w:val="00A73C6A"/>
    <w:rsid w:val="00A8001B"/>
    <w:rsid w:val="00A82E00"/>
    <w:rsid w:val="00A83370"/>
    <w:rsid w:val="00A85C16"/>
    <w:rsid w:val="00AA01D2"/>
    <w:rsid w:val="00AA076B"/>
    <w:rsid w:val="00AA3306"/>
    <w:rsid w:val="00AA410A"/>
    <w:rsid w:val="00AA5DE9"/>
    <w:rsid w:val="00AA7040"/>
    <w:rsid w:val="00AA7EC7"/>
    <w:rsid w:val="00AC0402"/>
    <w:rsid w:val="00AC087B"/>
    <w:rsid w:val="00AC5484"/>
    <w:rsid w:val="00AC5CBC"/>
    <w:rsid w:val="00AD4624"/>
    <w:rsid w:val="00AD5866"/>
    <w:rsid w:val="00AE0141"/>
    <w:rsid w:val="00AE1ECD"/>
    <w:rsid w:val="00AE20EF"/>
    <w:rsid w:val="00AE449C"/>
    <w:rsid w:val="00AE4F7B"/>
    <w:rsid w:val="00AF0A59"/>
    <w:rsid w:val="00AF0F8E"/>
    <w:rsid w:val="00AF57BC"/>
    <w:rsid w:val="00AF7C34"/>
    <w:rsid w:val="00B03292"/>
    <w:rsid w:val="00B16711"/>
    <w:rsid w:val="00B27C7D"/>
    <w:rsid w:val="00B3146B"/>
    <w:rsid w:val="00B334CF"/>
    <w:rsid w:val="00B34D45"/>
    <w:rsid w:val="00B34F92"/>
    <w:rsid w:val="00B367D2"/>
    <w:rsid w:val="00B41568"/>
    <w:rsid w:val="00B41F30"/>
    <w:rsid w:val="00B42160"/>
    <w:rsid w:val="00B42413"/>
    <w:rsid w:val="00B439F1"/>
    <w:rsid w:val="00B44079"/>
    <w:rsid w:val="00B45F37"/>
    <w:rsid w:val="00B510FC"/>
    <w:rsid w:val="00B56529"/>
    <w:rsid w:val="00B56620"/>
    <w:rsid w:val="00B568E1"/>
    <w:rsid w:val="00B5761C"/>
    <w:rsid w:val="00B61F33"/>
    <w:rsid w:val="00B67B0B"/>
    <w:rsid w:val="00B70B11"/>
    <w:rsid w:val="00B70E1A"/>
    <w:rsid w:val="00B76330"/>
    <w:rsid w:val="00B768D8"/>
    <w:rsid w:val="00B7776C"/>
    <w:rsid w:val="00B82CE9"/>
    <w:rsid w:val="00B92C15"/>
    <w:rsid w:val="00B9646C"/>
    <w:rsid w:val="00B9793E"/>
    <w:rsid w:val="00BA09D3"/>
    <w:rsid w:val="00BA0A13"/>
    <w:rsid w:val="00BA1269"/>
    <w:rsid w:val="00BA1EE5"/>
    <w:rsid w:val="00BA58F3"/>
    <w:rsid w:val="00BA71EB"/>
    <w:rsid w:val="00BB3834"/>
    <w:rsid w:val="00BB3E21"/>
    <w:rsid w:val="00BB4589"/>
    <w:rsid w:val="00BB5E69"/>
    <w:rsid w:val="00BB616F"/>
    <w:rsid w:val="00BB77DB"/>
    <w:rsid w:val="00BC41CA"/>
    <w:rsid w:val="00BC51D6"/>
    <w:rsid w:val="00BC6F98"/>
    <w:rsid w:val="00BC7CC8"/>
    <w:rsid w:val="00BC7F68"/>
    <w:rsid w:val="00BD3654"/>
    <w:rsid w:val="00BE583F"/>
    <w:rsid w:val="00BE6CEB"/>
    <w:rsid w:val="00BE6F43"/>
    <w:rsid w:val="00BF2A22"/>
    <w:rsid w:val="00BF39B4"/>
    <w:rsid w:val="00C00239"/>
    <w:rsid w:val="00C05246"/>
    <w:rsid w:val="00C07391"/>
    <w:rsid w:val="00C11C07"/>
    <w:rsid w:val="00C1389A"/>
    <w:rsid w:val="00C16BC8"/>
    <w:rsid w:val="00C16FE2"/>
    <w:rsid w:val="00C23FC4"/>
    <w:rsid w:val="00C25D29"/>
    <w:rsid w:val="00C26481"/>
    <w:rsid w:val="00C30875"/>
    <w:rsid w:val="00C316E6"/>
    <w:rsid w:val="00C4369C"/>
    <w:rsid w:val="00C44A14"/>
    <w:rsid w:val="00C44AD3"/>
    <w:rsid w:val="00C5008F"/>
    <w:rsid w:val="00C53C82"/>
    <w:rsid w:val="00C57460"/>
    <w:rsid w:val="00C6542D"/>
    <w:rsid w:val="00C65642"/>
    <w:rsid w:val="00C6565E"/>
    <w:rsid w:val="00C6766E"/>
    <w:rsid w:val="00C73CB2"/>
    <w:rsid w:val="00C74826"/>
    <w:rsid w:val="00C74835"/>
    <w:rsid w:val="00C75630"/>
    <w:rsid w:val="00C777BE"/>
    <w:rsid w:val="00C90B5E"/>
    <w:rsid w:val="00C94339"/>
    <w:rsid w:val="00C946F4"/>
    <w:rsid w:val="00CB396C"/>
    <w:rsid w:val="00CB558C"/>
    <w:rsid w:val="00CB6817"/>
    <w:rsid w:val="00CB7B0A"/>
    <w:rsid w:val="00CB7B9E"/>
    <w:rsid w:val="00CC0A53"/>
    <w:rsid w:val="00CC18D5"/>
    <w:rsid w:val="00CC7458"/>
    <w:rsid w:val="00CD04F7"/>
    <w:rsid w:val="00CD1D27"/>
    <w:rsid w:val="00CD28D3"/>
    <w:rsid w:val="00CD2B7D"/>
    <w:rsid w:val="00CD4AA0"/>
    <w:rsid w:val="00CE057F"/>
    <w:rsid w:val="00CE10FC"/>
    <w:rsid w:val="00CE4148"/>
    <w:rsid w:val="00CF2929"/>
    <w:rsid w:val="00CF3BC6"/>
    <w:rsid w:val="00CF3F53"/>
    <w:rsid w:val="00CF6E3C"/>
    <w:rsid w:val="00CF7FEC"/>
    <w:rsid w:val="00D00317"/>
    <w:rsid w:val="00D05CF4"/>
    <w:rsid w:val="00D05F44"/>
    <w:rsid w:val="00D06953"/>
    <w:rsid w:val="00D15062"/>
    <w:rsid w:val="00D21EE7"/>
    <w:rsid w:val="00D23A45"/>
    <w:rsid w:val="00D25D3E"/>
    <w:rsid w:val="00D27F26"/>
    <w:rsid w:val="00D41D69"/>
    <w:rsid w:val="00D42DAA"/>
    <w:rsid w:val="00D44CF3"/>
    <w:rsid w:val="00D45B66"/>
    <w:rsid w:val="00D46174"/>
    <w:rsid w:val="00D47F6F"/>
    <w:rsid w:val="00D56E7B"/>
    <w:rsid w:val="00D664B6"/>
    <w:rsid w:val="00D66DED"/>
    <w:rsid w:val="00D67ECE"/>
    <w:rsid w:val="00D71469"/>
    <w:rsid w:val="00D72329"/>
    <w:rsid w:val="00D7623F"/>
    <w:rsid w:val="00D85B57"/>
    <w:rsid w:val="00D85F27"/>
    <w:rsid w:val="00D86DEA"/>
    <w:rsid w:val="00D9376F"/>
    <w:rsid w:val="00DA1FDD"/>
    <w:rsid w:val="00DA4492"/>
    <w:rsid w:val="00DA4623"/>
    <w:rsid w:val="00DA7DE8"/>
    <w:rsid w:val="00DB079A"/>
    <w:rsid w:val="00DB5E23"/>
    <w:rsid w:val="00DD1CA1"/>
    <w:rsid w:val="00DD4701"/>
    <w:rsid w:val="00DD5A1A"/>
    <w:rsid w:val="00DD7678"/>
    <w:rsid w:val="00DD7982"/>
    <w:rsid w:val="00DE5BC7"/>
    <w:rsid w:val="00DF05CE"/>
    <w:rsid w:val="00DF4A12"/>
    <w:rsid w:val="00DF591B"/>
    <w:rsid w:val="00DF6446"/>
    <w:rsid w:val="00E02F70"/>
    <w:rsid w:val="00E17C04"/>
    <w:rsid w:val="00E20607"/>
    <w:rsid w:val="00E20DD0"/>
    <w:rsid w:val="00E210B9"/>
    <w:rsid w:val="00E21C36"/>
    <w:rsid w:val="00E224EF"/>
    <w:rsid w:val="00E22504"/>
    <w:rsid w:val="00E233AA"/>
    <w:rsid w:val="00E247FC"/>
    <w:rsid w:val="00E24B69"/>
    <w:rsid w:val="00E30942"/>
    <w:rsid w:val="00E30A2B"/>
    <w:rsid w:val="00E31B52"/>
    <w:rsid w:val="00E327FA"/>
    <w:rsid w:val="00E35295"/>
    <w:rsid w:val="00E376D7"/>
    <w:rsid w:val="00E50BE1"/>
    <w:rsid w:val="00E53FDF"/>
    <w:rsid w:val="00E54A55"/>
    <w:rsid w:val="00E65BA6"/>
    <w:rsid w:val="00E66467"/>
    <w:rsid w:val="00E665EF"/>
    <w:rsid w:val="00E739CA"/>
    <w:rsid w:val="00E81992"/>
    <w:rsid w:val="00E84253"/>
    <w:rsid w:val="00E84273"/>
    <w:rsid w:val="00E84862"/>
    <w:rsid w:val="00E85487"/>
    <w:rsid w:val="00E916C6"/>
    <w:rsid w:val="00E91B9B"/>
    <w:rsid w:val="00E92B96"/>
    <w:rsid w:val="00E93681"/>
    <w:rsid w:val="00E94517"/>
    <w:rsid w:val="00EA0BA1"/>
    <w:rsid w:val="00EA1B14"/>
    <w:rsid w:val="00EA1DD2"/>
    <w:rsid w:val="00EA2BE0"/>
    <w:rsid w:val="00EA3F19"/>
    <w:rsid w:val="00EA68B9"/>
    <w:rsid w:val="00EA7341"/>
    <w:rsid w:val="00EB3437"/>
    <w:rsid w:val="00EC1CCF"/>
    <w:rsid w:val="00EC627A"/>
    <w:rsid w:val="00EC7439"/>
    <w:rsid w:val="00ED7019"/>
    <w:rsid w:val="00EE525A"/>
    <w:rsid w:val="00EE5AD5"/>
    <w:rsid w:val="00EE61CD"/>
    <w:rsid w:val="00EF1309"/>
    <w:rsid w:val="00EF2407"/>
    <w:rsid w:val="00EF300F"/>
    <w:rsid w:val="00F02069"/>
    <w:rsid w:val="00F050F3"/>
    <w:rsid w:val="00F148BC"/>
    <w:rsid w:val="00F15BC6"/>
    <w:rsid w:val="00F226C4"/>
    <w:rsid w:val="00F2325D"/>
    <w:rsid w:val="00F255DB"/>
    <w:rsid w:val="00F2613E"/>
    <w:rsid w:val="00F271DF"/>
    <w:rsid w:val="00F31539"/>
    <w:rsid w:val="00F34493"/>
    <w:rsid w:val="00F3635D"/>
    <w:rsid w:val="00F44605"/>
    <w:rsid w:val="00F53FAF"/>
    <w:rsid w:val="00F62D17"/>
    <w:rsid w:val="00F64B17"/>
    <w:rsid w:val="00F67C8D"/>
    <w:rsid w:val="00F75BBC"/>
    <w:rsid w:val="00F767AD"/>
    <w:rsid w:val="00F80C30"/>
    <w:rsid w:val="00F8340D"/>
    <w:rsid w:val="00F85950"/>
    <w:rsid w:val="00F908BC"/>
    <w:rsid w:val="00F94ADB"/>
    <w:rsid w:val="00F975A1"/>
    <w:rsid w:val="00F97AF2"/>
    <w:rsid w:val="00FA36DC"/>
    <w:rsid w:val="00FB0BCF"/>
    <w:rsid w:val="00FB402A"/>
    <w:rsid w:val="00FB44B4"/>
    <w:rsid w:val="00FB7771"/>
    <w:rsid w:val="00FB7922"/>
    <w:rsid w:val="00FC0607"/>
    <w:rsid w:val="00FC315A"/>
    <w:rsid w:val="00FC4D0A"/>
    <w:rsid w:val="00FC74AD"/>
    <w:rsid w:val="00FD0D0C"/>
    <w:rsid w:val="00FD1C41"/>
    <w:rsid w:val="00FD2B5B"/>
    <w:rsid w:val="00FD33EC"/>
    <w:rsid w:val="00FD6612"/>
    <w:rsid w:val="00FE1913"/>
    <w:rsid w:val="00FE460C"/>
    <w:rsid w:val="00FE4AD1"/>
    <w:rsid w:val="00FF248E"/>
    <w:rsid w:val="00FF40F4"/>
    <w:rsid w:val="00FF433C"/>
    <w:rsid w:val="00FF61C7"/>
    <w:rsid w:val="00FF653D"/>
    <w:rsid w:val="01AD16F9"/>
    <w:rsid w:val="01B71BD4"/>
    <w:rsid w:val="01DD31A9"/>
    <w:rsid w:val="024822BA"/>
    <w:rsid w:val="02DB6FF9"/>
    <w:rsid w:val="033C3023"/>
    <w:rsid w:val="052A494C"/>
    <w:rsid w:val="05F718B0"/>
    <w:rsid w:val="06264EBB"/>
    <w:rsid w:val="0660296D"/>
    <w:rsid w:val="066C303A"/>
    <w:rsid w:val="075B4617"/>
    <w:rsid w:val="084B19E6"/>
    <w:rsid w:val="08FA014C"/>
    <w:rsid w:val="091664FD"/>
    <w:rsid w:val="096B1D41"/>
    <w:rsid w:val="099567FC"/>
    <w:rsid w:val="09D8796C"/>
    <w:rsid w:val="09E611AC"/>
    <w:rsid w:val="0A487660"/>
    <w:rsid w:val="0AEF5816"/>
    <w:rsid w:val="0B9343C9"/>
    <w:rsid w:val="0C006A4F"/>
    <w:rsid w:val="0C5E2573"/>
    <w:rsid w:val="0C64355F"/>
    <w:rsid w:val="0D164D9E"/>
    <w:rsid w:val="0DA16FCC"/>
    <w:rsid w:val="0DF54F81"/>
    <w:rsid w:val="0E956346"/>
    <w:rsid w:val="0F2A036A"/>
    <w:rsid w:val="10442345"/>
    <w:rsid w:val="111939FD"/>
    <w:rsid w:val="112F7D2D"/>
    <w:rsid w:val="11772F45"/>
    <w:rsid w:val="117B003F"/>
    <w:rsid w:val="12966F6C"/>
    <w:rsid w:val="132F2BCE"/>
    <w:rsid w:val="137A6453"/>
    <w:rsid w:val="13DB20E1"/>
    <w:rsid w:val="14AE1901"/>
    <w:rsid w:val="15C84EDF"/>
    <w:rsid w:val="16A82745"/>
    <w:rsid w:val="179B0556"/>
    <w:rsid w:val="17B16514"/>
    <w:rsid w:val="180B3FDB"/>
    <w:rsid w:val="19BF3005"/>
    <w:rsid w:val="1AB54D11"/>
    <w:rsid w:val="1AC36298"/>
    <w:rsid w:val="1B5F22B5"/>
    <w:rsid w:val="1B751E56"/>
    <w:rsid w:val="1B805C9A"/>
    <w:rsid w:val="1B9B4C1E"/>
    <w:rsid w:val="1C9E2899"/>
    <w:rsid w:val="1D040379"/>
    <w:rsid w:val="1E643936"/>
    <w:rsid w:val="1F3E4D3F"/>
    <w:rsid w:val="1F3F7DF3"/>
    <w:rsid w:val="1F4A15BA"/>
    <w:rsid w:val="1F730268"/>
    <w:rsid w:val="20EE4BE8"/>
    <w:rsid w:val="216D0714"/>
    <w:rsid w:val="232C00FD"/>
    <w:rsid w:val="23317384"/>
    <w:rsid w:val="235F249E"/>
    <w:rsid w:val="241C6EB4"/>
    <w:rsid w:val="242E4FFD"/>
    <w:rsid w:val="24474EE9"/>
    <w:rsid w:val="24B311A3"/>
    <w:rsid w:val="25A51D5E"/>
    <w:rsid w:val="25BC4336"/>
    <w:rsid w:val="25C912FE"/>
    <w:rsid w:val="269A53D3"/>
    <w:rsid w:val="26E1039F"/>
    <w:rsid w:val="27DD0604"/>
    <w:rsid w:val="27E26020"/>
    <w:rsid w:val="28D33956"/>
    <w:rsid w:val="290D5FB3"/>
    <w:rsid w:val="298E6C66"/>
    <w:rsid w:val="2A9E1AF0"/>
    <w:rsid w:val="2B3D34F7"/>
    <w:rsid w:val="2D1D0FFE"/>
    <w:rsid w:val="2EC57195"/>
    <w:rsid w:val="304660EE"/>
    <w:rsid w:val="30AE4E06"/>
    <w:rsid w:val="30B5017C"/>
    <w:rsid w:val="310E6468"/>
    <w:rsid w:val="31324BCD"/>
    <w:rsid w:val="315923A4"/>
    <w:rsid w:val="31E01808"/>
    <w:rsid w:val="340D70E3"/>
    <w:rsid w:val="3453628C"/>
    <w:rsid w:val="347D6E0A"/>
    <w:rsid w:val="349B5908"/>
    <w:rsid w:val="36581BEF"/>
    <w:rsid w:val="36F62ACF"/>
    <w:rsid w:val="379B7D06"/>
    <w:rsid w:val="38DD234A"/>
    <w:rsid w:val="3A2A67B7"/>
    <w:rsid w:val="3A3060CB"/>
    <w:rsid w:val="3C974D64"/>
    <w:rsid w:val="3DDA7CA4"/>
    <w:rsid w:val="3E03016C"/>
    <w:rsid w:val="3FF17081"/>
    <w:rsid w:val="405715FE"/>
    <w:rsid w:val="41356AF2"/>
    <w:rsid w:val="414117D3"/>
    <w:rsid w:val="42E71E4A"/>
    <w:rsid w:val="43AA0A1A"/>
    <w:rsid w:val="43F02E86"/>
    <w:rsid w:val="44445222"/>
    <w:rsid w:val="44A1682D"/>
    <w:rsid w:val="44AB7D67"/>
    <w:rsid w:val="45835D97"/>
    <w:rsid w:val="46555A9E"/>
    <w:rsid w:val="47927F0C"/>
    <w:rsid w:val="483B786C"/>
    <w:rsid w:val="48A052F0"/>
    <w:rsid w:val="48FD2CBF"/>
    <w:rsid w:val="49B64C17"/>
    <w:rsid w:val="4A774EAF"/>
    <w:rsid w:val="4A901B65"/>
    <w:rsid w:val="4A970401"/>
    <w:rsid w:val="4B8B563D"/>
    <w:rsid w:val="4C5B1D93"/>
    <w:rsid w:val="4C815CEF"/>
    <w:rsid w:val="4C8773D6"/>
    <w:rsid w:val="4C8E6465"/>
    <w:rsid w:val="4CF3184A"/>
    <w:rsid w:val="4D113017"/>
    <w:rsid w:val="4D1A1E41"/>
    <w:rsid w:val="4D1C20E0"/>
    <w:rsid w:val="4FCE0B81"/>
    <w:rsid w:val="50544212"/>
    <w:rsid w:val="515B15FC"/>
    <w:rsid w:val="527C7B82"/>
    <w:rsid w:val="5299691E"/>
    <w:rsid w:val="531752DB"/>
    <w:rsid w:val="53E268F1"/>
    <w:rsid w:val="543B1246"/>
    <w:rsid w:val="54886867"/>
    <w:rsid w:val="5491583C"/>
    <w:rsid w:val="54D6161E"/>
    <w:rsid w:val="579E3070"/>
    <w:rsid w:val="582C5F77"/>
    <w:rsid w:val="58B32F76"/>
    <w:rsid w:val="591D1716"/>
    <w:rsid w:val="59476261"/>
    <w:rsid w:val="59F96BAF"/>
    <w:rsid w:val="5A3126AE"/>
    <w:rsid w:val="5A9A7B03"/>
    <w:rsid w:val="5AA83CF1"/>
    <w:rsid w:val="5CA6431C"/>
    <w:rsid w:val="5D232270"/>
    <w:rsid w:val="5D53601F"/>
    <w:rsid w:val="5E374037"/>
    <w:rsid w:val="5E535479"/>
    <w:rsid w:val="5F057EE1"/>
    <w:rsid w:val="5F892649"/>
    <w:rsid w:val="62101E85"/>
    <w:rsid w:val="62DB3863"/>
    <w:rsid w:val="633831BC"/>
    <w:rsid w:val="637C494F"/>
    <w:rsid w:val="642D3DC4"/>
    <w:rsid w:val="64F57F6F"/>
    <w:rsid w:val="65571EA9"/>
    <w:rsid w:val="6727118C"/>
    <w:rsid w:val="67647E7D"/>
    <w:rsid w:val="685643D3"/>
    <w:rsid w:val="68B34A7D"/>
    <w:rsid w:val="68DC27C4"/>
    <w:rsid w:val="6A773311"/>
    <w:rsid w:val="6A955530"/>
    <w:rsid w:val="6BAB7A5B"/>
    <w:rsid w:val="6D86319F"/>
    <w:rsid w:val="6E4829A7"/>
    <w:rsid w:val="6F270F00"/>
    <w:rsid w:val="6F6B56AF"/>
    <w:rsid w:val="716740E2"/>
    <w:rsid w:val="721539DB"/>
    <w:rsid w:val="7329247D"/>
    <w:rsid w:val="733517CB"/>
    <w:rsid w:val="73A734AF"/>
    <w:rsid w:val="741C55A9"/>
    <w:rsid w:val="75123A2B"/>
    <w:rsid w:val="75172ADA"/>
    <w:rsid w:val="75DF35EA"/>
    <w:rsid w:val="76090E55"/>
    <w:rsid w:val="77E43EAC"/>
    <w:rsid w:val="790E26F2"/>
    <w:rsid w:val="79DA2CAE"/>
    <w:rsid w:val="7A535E6C"/>
    <w:rsid w:val="7B582008"/>
    <w:rsid w:val="7B867AD4"/>
    <w:rsid w:val="7C053676"/>
    <w:rsid w:val="7C054C4A"/>
    <w:rsid w:val="7D170770"/>
    <w:rsid w:val="7D70716E"/>
    <w:rsid w:val="7DA1507F"/>
    <w:rsid w:val="7EB32EAB"/>
    <w:rsid w:val="7F65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color w:val="864654"/>
      <w:u w:val="single"/>
    </w:rPr>
  </w:style>
  <w:style w:type="character" w:styleId="12">
    <w:name w:val="annotation reference"/>
    <w:semiHidden/>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14">
    <w:name w:val="CM3"/>
    <w:basedOn w:val="13"/>
    <w:next w:val="13"/>
    <w:qFormat/>
    <w:uiPriority w:val="0"/>
    <w:pPr>
      <w:spacing w:line="468" w:lineRule="atLeast"/>
    </w:pPr>
    <w:rPr>
      <w:rFonts w:ascii="宋体" w:hAnsi="Times New Roman" w:eastAsia="宋体" w:cs="宋体"/>
      <w:color w:val="auto"/>
    </w:rPr>
  </w:style>
  <w:style w:type="character" w:customStyle="1" w:styleId="15">
    <w:name w:val="页眉 字符"/>
    <w:link w:val="5"/>
    <w:qFormat/>
    <w:uiPriority w:val="99"/>
    <w:rPr>
      <w:rFonts w:ascii="Times New Roman" w:hAnsi="Times New Roman" w:eastAsia="宋体"/>
      <w:kern w:val="2"/>
      <w:sz w:val="18"/>
      <w:szCs w:val="18"/>
    </w:rPr>
  </w:style>
  <w:style w:type="character" w:customStyle="1" w:styleId="16">
    <w:name w:val="页脚 字符"/>
    <w:link w:val="4"/>
    <w:qFormat/>
    <w:uiPriority w:val="99"/>
    <w:rPr>
      <w:rFonts w:ascii="Times New Roman" w:hAnsi="Times New Roman" w:eastAsia="宋体"/>
      <w:kern w:val="2"/>
      <w:sz w:val="18"/>
      <w:szCs w:val="18"/>
    </w:rPr>
  </w:style>
  <w:style w:type="character" w:customStyle="1" w:styleId="17">
    <w:name w:val="批注框文本 字符"/>
    <w:link w:val="3"/>
    <w:semiHidden/>
    <w:qFormat/>
    <w:uiPriority w:val="99"/>
    <w:rPr>
      <w:rFonts w:ascii="Times New Roman" w:hAnsi="Times New Roman" w:eastAsia="宋体"/>
      <w:kern w:val="2"/>
      <w:sz w:val="18"/>
      <w:szCs w:val="18"/>
    </w:rPr>
  </w:style>
  <w:style w:type="character" w:customStyle="1" w:styleId="18">
    <w:name w:val="批注文字 字符"/>
    <w:link w:val="2"/>
    <w:semiHidden/>
    <w:qFormat/>
    <w:uiPriority w:val="99"/>
    <w:rPr>
      <w:rFonts w:ascii="Times New Roman" w:hAnsi="Times New Roman" w:eastAsia="宋体"/>
      <w:kern w:val="2"/>
      <w:sz w:val="21"/>
    </w:rPr>
  </w:style>
  <w:style w:type="character" w:customStyle="1" w:styleId="19">
    <w:name w:val="批注主题 字符"/>
    <w:link w:val="7"/>
    <w:semiHidden/>
    <w:qFormat/>
    <w:uiPriority w:val="99"/>
    <w:rPr>
      <w:rFonts w:ascii="Times New Roman" w:hAnsi="Times New Roman" w:eastAsia="宋体"/>
      <w:b/>
      <w:bCs/>
      <w:kern w:val="2"/>
      <w:sz w:val="21"/>
    </w:r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styleId="21">
    <w:name w:val="List Paragraph"/>
    <w:basedOn w:val="1"/>
    <w:qFormat/>
    <w:uiPriority w:val="34"/>
    <w:pPr>
      <w:widowControl w:val="0"/>
      <w:ind w:firstLine="420" w:firstLineChars="200"/>
      <w:jc w:val="both"/>
    </w:pPr>
    <w:rPr>
      <w:rFonts w:ascii="Times New Roman" w:hAnsi="Times New Roman" w:cs="Times New Roman"/>
      <w:kern w:val="2"/>
      <w:sz w:val="21"/>
      <w:szCs w:val="20"/>
    </w:rPr>
  </w:style>
  <w:style w:type="character" w:customStyle="1" w:styleId="22">
    <w:name w:val="font11"/>
    <w:basedOn w:val="10"/>
    <w:qFormat/>
    <w:uiPriority w:val="0"/>
    <w:rPr>
      <w:rFonts w:hint="default" w:ascii="Times New Roman" w:hAnsi="Times New Roman" w:cs="Times New Roman"/>
      <w:b/>
      <w:bCs/>
      <w:color w:val="000000"/>
      <w:sz w:val="18"/>
      <w:szCs w:val="18"/>
      <w:u w:val="none"/>
    </w:rPr>
  </w:style>
  <w:style w:type="character" w:customStyle="1" w:styleId="23">
    <w:name w:val="font21"/>
    <w:basedOn w:val="1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44DA9-1737-4483-AB7E-46972838C8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1792</Words>
  <Characters>10217</Characters>
  <Lines>85</Lines>
  <Paragraphs>23</Paragraphs>
  <TotalTime>27</TotalTime>
  <ScaleCrop>false</ScaleCrop>
  <LinksUpToDate>false</LinksUpToDate>
  <CharactersWithSpaces>11986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2020-04-26T09:59:00Z</dcterms:created>
  <dc:creator>USER</dc:creator>
  <cp:lastModifiedBy>牟海涛</cp:lastModifiedBy>
  <cp:lastPrinted>2019-04-17T08:50:00Z</cp:lastPrinted>
  <dcterms:modified xsi:type="dcterms:W3CDTF">2024-04-26T01:32:22Z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